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09285" w14:textId="77777777" w:rsidR="00712C3F" w:rsidRDefault="00712C3F" w:rsidP="00B77598">
      <w:pPr>
        <w:pStyle w:val="Corpotesto"/>
        <w:ind w:left="0"/>
      </w:pPr>
    </w:p>
    <w:p w14:paraId="75C1BB13" w14:textId="77777777" w:rsidR="00712C3F" w:rsidRDefault="00712C3F">
      <w:pPr>
        <w:pStyle w:val="Corpotesto"/>
        <w:ind w:left="4418"/>
      </w:pPr>
    </w:p>
    <w:p w14:paraId="2432C20A" w14:textId="77777777" w:rsidR="00712C3F" w:rsidRDefault="00712C3F">
      <w:pPr>
        <w:pStyle w:val="Corpotesto"/>
        <w:ind w:left="4418"/>
      </w:pPr>
    </w:p>
    <w:p w14:paraId="4A4AB01B" w14:textId="77777777" w:rsidR="001D5693" w:rsidRDefault="000537AF">
      <w:pPr>
        <w:pStyle w:val="Corpotesto"/>
        <w:ind w:left="4418"/>
        <w:rPr>
          <w:rFonts w:ascii="Times New Roman"/>
          <w:sz w:val="20"/>
        </w:rPr>
      </w:pPr>
      <w:r>
        <w:rPr>
          <w:rFonts w:ascii="Times New Roman"/>
          <w:noProof/>
          <w:sz w:val="20"/>
        </w:rPr>
        <w:drawing>
          <wp:inline distT="0" distB="0" distL="0" distR="0" wp14:anchorId="447E3E9B" wp14:editId="3A3488FD">
            <wp:extent cx="790076" cy="116681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90076" cy="1166812"/>
                    </a:xfrm>
                    <a:prstGeom prst="rect">
                      <a:avLst/>
                    </a:prstGeom>
                  </pic:spPr>
                </pic:pic>
              </a:graphicData>
            </a:graphic>
          </wp:inline>
        </w:drawing>
      </w:r>
    </w:p>
    <w:p w14:paraId="2E52D7AC" w14:textId="77777777" w:rsidR="001D5693" w:rsidRDefault="001D5693">
      <w:pPr>
        <w:pStyle w:val="Corpotesto"/>
        <w:ind w:left="0"/>
        <w:rPr>
          <w:rFonts w:ascii="Times New Roman"/>
          <w:sz w:val="20"/>
        </w:rPr>
      </w:pPr>
    </w:p>
    <w:p w14:paraId="3B28AF7C" w14:textId="77777777" w:rsidR="001D5693" w:rsidRDefault="001D5693">
      <w:pPr>
        <w:pStyle w:val="Corpotesto"/>
        <w:ind w:left="0"/>
        <w:rPr>
          <w:rFonts w:ascii="Times New Roman"/>
          <w:sz w:val="20"/>
        </w:rPr>
      </w:pPr>
    </w:p>
    <w:p w14:paraId="22E10543" w14:textId="77777777" w:rsidR="001D5693" w:rsidRDefault="001D5693">
      <w:pPr>
        <w:pStyle w:val="Corpotesto"/>
        <w:spacing w:before="7"/>
        <w:ind w:left="0"/>
        <w:rPr>
          <w:rFonts w:ascii="Times New Roman"/>
          <w:sz w:val="18"/>
        </w:rPr>
      </w:pPr>
    </w:p>
    <w:p w14:paraId="2D938D52" w14:textId="77777777" w:rsidR="001D5693" w:rsidRPr="00045F34" w:rsidRDefault="000537AF">
      <w:pPr>
        <w:pStyle w:val="Corpotesto"/>
        <w:spacing w:before="100"/>
        <w:ind w:left="3916" w:right="3915"/>
        <w:jc w:val="center"/>
        <w:rPr>
          <w:b/>
          <w:lang w:val="it-IT"/>
        </w:rPr>
      </w:pPr>
      <w:r w:rsidRPr="00045F34">
        <w:rPr>
          <w:b/>
          <w:color w:val="4B93D7"/>
          <w:lang w:val="it-IT"/>
        </w:rPr>
        <w:t xml:space="preserve">NOTA </w:t>
      </w:r>
      <w:r w:rsidR="005264BC">
        <w:rPr>
          <w:b/>
          <w:color w:val="4B93D7"/>
          <w:lang w:val="it-IT"/>
        </w:rPr>
        <w:t>SI</w:t>
      </w:r>
      <w:r w:rsidR="009E6929">
        <w:rPr>
          <w:b/>
          <w:color w:val="4B93D7"/>
          <w:lang w:val="it-IT"/>
        </w:rPr>
        <w:t>NTETICA</w:t>
      </w:r>
    </w:p>
    <w:p w14:paraId="10A13C30" w14:textId="77777777" w:rsidR="001D5693" w:rsidRPr="00045F34" w:rsidRDefault="00407E8B">
      <w:pPr>
        <w:pStyle w:val="Corpotesto"/>
        <w:ind w:left="0"/>
        <w:rPr>
          <w:b/>
          <w:lang w:val="it-IT"/>
        </w:rPr>
      </w:pPr>
      <w:r>
        <w:rPr>
          <w:b/>
          <w:lang w:val="it-IT"/>
        </w:rPr>
        <w:t xml:space="preserve"> </w:t>
      </w:r>
    </w:p>
    <w:p w14:paraId="148EB629" w14:textId="379C1CB0" w:rsidR="001D5693" w:rsidRPr="00490EE6" w:rsidRDefault="00BF0386" w:rsidP="001033B2">
      <w:pPr>
        <w:ind w:left="803" w:right="465" w:hanging="329"/>
        <w:jc w:val="center"/>
        <w:rPr>
          <w:b/>
          <w:i/>
          <w:lang w:val="it-IT"/>
        </w:rPr>
      </w:pPr>
      <w:r>
        <w:rPr>
          <w:b/>
          <w:color w:val="4B93D7"/>
          <w:lang w:val="it-IT"/>
        </w:rPr>
        <w:t xml:space="preserve"> </w:t>
      </w:r>
      <w:r w:rsidR="00407E8B">
        <w:rPr>
          <w:b/>
          <w:color w:val="4B93D7"/>
          <w:lang w:val="it-IT"/>
        </w:rPr>
        <w:t xml:space="preserve">  </w:t>
      </w:r>
      <w:r>
        <w:rPr>
          <w:b/>
          <w:color w:val="4B93D7"/>
          <w:lang w:val="it-IT"/>
        </w:rPr>
        <w:t xml:space="preserve">  </w:t>
      </w:r>
      <w:r w:rsidR="00490EE6">
        <w:rPr>
          <w:b/>
          <w:color w:val="4B93D7"/>
          <w:lang w:val="it-IT"/>
        </w:rPr>
        <w:t xml:space="preserve"> </w:t>
      </w:r>
      <w:r w:rsidR="000537AF" w:rsidRPr="00045F34">
        <w:rPr>
          <w:b/>
          <w:color w:val="4B93D7"/>
          <w:lang w:val="it-IT"/>
        </w:rPr>
        <w:t>D.L. 29 gennaio 2024, n. 7 recante “</w:t>
      </w:r>
      <w:r w:rsidR="000537AF" w:rsidRPr="00045F34">
        <w:rPr>
          <w:b/>
          <w:i/>
          <w:color w:val="4B93D7"/>
          <w:lang w:val="it-IT"/>
        </w:rPr>
        <w:t>Disposizioni urgenti per le consultazioni elettorali dell’anno 2024 e in materia di revisione delle anagrafi della</w:t>
      </w:r>
      <w:r w:rsidR="00A21C98">
        <w:rPr>
          <w:b/>
          <w:i/>
          <w:color w:val="4B93D7"/>
          <w:lang w:val="it-IT"/>
        </w:rPr>
        <w:t xml:space="preserve"> </w:t>
      </w:r>
      <w:r w:rsidR="000537AF" w:rsidRPr="00045F34">
        <w:rPr>
          <w:b/>
          <w:i/>
          <w:color w:val="4B93D7"/>
          <w:lang w:val="it-IT"/>
        </w:rPr>
        <w:t>popolazione residente e di determinazione della popolazione legale</w:t>
      </w:r>
      <w:r w:rsidR="000537AF" w:rsidRPr="00045F34">
        <w:rPr>
          <w:b/>
          <w:color w:val="4B93D7"/>
          <w:lang w:val="it-IT"/>
        </w:rPr>
        <w:t>”</w:t>
      </w:r>
      <w:r w:rsidR="001470D5">
        <w:rPr>
          <w:b/>
          <w:color w:val="4B93D7"/>
          <w:lang w:val="it-IT"/>
        </w:rPr>
        <w:t xml:space="preserve"> convertito in </w:t>
      </w:r>
      <w:r w:rsidR="00344FCD">
        <w:rPr>
          <w:b/>
          <w:color w:val="4B93D7"/>
          <w:lang w:val="it-IT"/>
        </w:rPr>
        <w:t>l</w:t>
      </w:r>
      <w:r w:rsidR="001470D5">
        <w:rPr>
          <w:b/>
          <w:color w:val="4B93D7"/>
          <w:lang w:val="it-IT"/>
        </w:rPr>
        <w:t>egge n. 38 del 25 marzo 2024, pubblicat</w:t>
      </w:r>
      <w:r w:rsidR="00344FCD">
        <w:rPr>
          <w:b/>
          <w:color w:val="4B93D7"/>
          <w:lang w:val="it-IT"/>
        </w:rPr>
        <w:t>a</w:t>
      </w:r>
      <w:r w:rsidR="001470D5">
        <w:rPr>
          <w:b/>
          <w:color w:val="4B93D7"/>
          <w:lang w:val="it-IT"/>
        </w:rPr>
        <w:t xml:space="preserve"> in GU </w:t>
      </w:r>
      <w:r w:rsidR="00344FCD">
        <w:rPr>
          <w:b/>
          <w:color w:val="4B93D7"/>
          <w:lang w:val="it-IT"/>
        </w:rPr>
        <w:t xml:space="preserve">il </w:t>
      </w:r>
      <w:r w:rsidR="001470D5">
        <w:rPr>
          <w:b/>
          <w:color w:val="4B93D7"/>
          <w:lang w:val="it-IT"/>
        </w:rPr>
        <w:t>28 marzo 2024</w:t>
      </w:r>
    </w:p>
    <w:p w14:paraId="41EF09A1" w14:textId="77777777" w:rsidR="001D5693" w:rsidRPr="00045F34" w:rsidRDefault="001D5693">
      <w:pPr>
        <w:pStyle w:val="Corpotesto"/>
        <w:ind w:left="0"/>
        <w:rPr>
          <w:b/>
          <w:sz w:val="26"/>
          <w:lang w:val="it-IT"/>
        </w:rPr>
      </w:pPr>
    </w:p>
    <w:p w14:paraId="0A512AF3" w14:textId="77777777" w:rsidR="001D5693" w:rsidRDefault="000537AF">
      <w:pPr>
        <w:pStyle w:val="Corpotesto"/>
        <w:spacing w:before="209"/>
        <w:rPr>
          <w:b/>
          <w:color w:val="4B93D7"/>
          <w:lang w:val="it-IT"/>
        </w:rPr>
      </w:pPr>
      <w:r w:rsidRPr="00045F34">
        <w:rPr>
          <w:b/>
          <w:color w:val="4B93D7"/>
          <w:lang w:val="it-IT"/>
        </w:rPr>
        <w:t>PREMESSA</w:t>
      </w:r>
    </w:p>
    <w:p w14:paraId="66E96E5D" w14:textId="77777777" w:rsidR="00F00B78" w:rsidRPr="00045F34" w:rsidRDefault="00F00B78">
      <w:pPr>
        <w:pStyle w:val="Corpotesto"/>
        <w:spacing w:before="209"/>
        <w:rPr>
          <w:b/>
          <w:lang w:val="it-IT"/>
        </w:rPr>
      </w:pPr>
    </w:p>
    <w:p w14:paraId="243BC792" w14:textId="77777777" w:rsidR="000C7C4B" w:rsidRPr="007228A0" w:rsidRDefault="006350F0" w:rsidP="00553A48">
      <w:pPr>
        <w:pStyle w:val="Corpotesto"/>
        <w:spacing w:before="1"/>
        <w:ind w:right="107"/>
        <w:jc w:val="both"/>
        <w:rPr>
          <w:lang w:val="it-IT"/>
        </w:rPr>
      </w:pPr>
      <w:r>
        <w:rPr>
          <w:lang w:val="it-IT"/>
        </w:rPr>
        <w:t xml:space="preserve">È stata pubblicata nella G.U. del 28 marzo 2024, la legge n. </w:t>
      </w:r>
      <w:r w:rsidR="00F763C9">
        <w:rPr>
          <w:lang w:val="it-IT"/>
        </w:rPr>
        <w:t>38</w:t>
      </w:r>
      <w:r w:rsidR="00735BAF">
        <w:rPr>
          <w:lang w:val="it-IT"/>
        </w:rPr>
        <w:t xml:space="preserve">, </w:t>
      </w:r>
      <w:r w:rsidR="00F763C9">
        <w:rPr>
          <w:lang w:val="it-IT"/>
        </w:rPr>
        <w:t>d</w:t>
      </w:r>
      <w:r w:rsidR="00CE2429">
        <w:rPr>
          <w:lang w:val="it-IT"/>
        </w:rPr>
        <w:t>i conversione del dl n. 7/2024</w:t>
      </w:r>
      <w:r w:rsidR="00D1657F">
        <w:rPr>
          <w:lang w:val="it-IT"/>
        </w:rPr>
        <w:t>, cd dl elezioni</w:t>
      </w:r>
      <w:r w:rsidR="00815E5C">
        <w:rPr>
          <w:lang w:val="it-IT"/>
        </w:rPr>
        <w:t xml:space="preserve">, </w:t>
      </w:r>
      <w:r w:rsidR="00553A48" w:rsidRPr="00553A48">
        <w:rPr>
          <w:lang w:val="it-IT"/>
        </w:rPr>
        <w:t>recante “</w:t>
      </w:r>
      <w:r w:rsidR="00553A48" w:rsidRPr="000C7C4B">
        <w:rPr>
          <w:i/>
          <w:iCs/>
          <w:lang w:val="it-IT"/>
        </w:rPr>
        <w:t>Disposizioni urgenti per le consultazioni elettorali dell’anno 2024 e in materia di revisione delle anagrafi della</w:t>
      </w:r>
      <w:r w:rsidR="000C7C4B" w:rsidRPr="000C7C4B">
        <w:rPr>
          <w:i/>
          <w:iCs/>
          <w:lang w:val="it-IT"/>
        </w:rPr>
        <w:t xml:space="preserve"> </w:t>
      </w:r>
      <w:r w:rsidR="00553A48" w:rsidRPr="000C7C4B">
        <w:rPr>
          <w:i/>
          <w:iCs/>
          <w:lang w:val="it-IT"/>
        </w:rPr>
        <w:t xml:space="preserve">popolazione residente e di determinazione </w:t>
      </w:r>
      <w:r w:rsidR="00553A48" w:rsidRPr="007228A0">
        <w:rPr>
          <w:i/>
          <w:iCs/>
          <w:lang w:val="it-IT"/>
        </w:rPr>
        <w:t>della popolazione legale</w:t>
      </w:r>
      <w:r w:rsidR="00553A48" w:rsidRPr="007228A0">
        <w:rPr>
          <w:lang w:val="it-IT"/>
        </w:rPr>
        <w:t>”</w:t>
      </w:r>
      <w:r w:rsidR="007A1420" w:rsidRPr="007228A0">
        <w:rPr>
          <w:lang w:val="it-IT"/>
        </w:rPr>
        <w:t xml:space="preserve"> </w:t>
      </w:r>
    </w:p>
    <w:p w14:paraId="2463E117" w14:textId="77777777" w:rsidR="001D5693" w:rsidRPr="0031201B" w:rsidRDefault="007A1420" w:rsidP="0031201B">
      <w:pPr>
        <w:pStyle w:val="Corpotesto"/>
        <w:spacing w:before="1"/>
        <w:ind w:right="107"/>
        <w:jc w:val="both"/>
        <w:rPr>
          <w:lang w:val="it-IT"/>
        </w:rPr>
      </w:pPr>
      <w:r w:rsidRPr="007228A0">
        <w:rPr>
          <w:lang w:val="it-IT"/>
        </w:rPr>
        <w:t xml:space="preserve">Il </w:t>
      </w:r>
      <w:r w:rsidR="00AB00BC" w:rsidRPr="007228A0">
        <w:rPr>
          <w:lang w:val="it-IT"/>
        </w:rPr>
        <w:t>provvedimento, o</w:t>
      </w:r>
      <w:r w:rsidRPr="007228A0">
        <w:rPr>
          <w:lang w:val="it-IT"/>
        </w:rPr>
        <w:t>ltre a disciplinare</w:t>
      </w:r>
      <w:r w:rsidRPr="007228A0">
        <w:rPr>
          <w:spacing w:val="-20"/>
          <w:lang w:val="it-IT"/>
        </w:rPr>
        <w:t xml:space="preserve"> </w:t>
      </w:r>
      <w:r w:rsidRPr="007228A0">
        <w:rPr>
          <w:lang w:val="it-IT"/>
        </w:rPr>
        <w:t>l’abbinamento</w:t>
      </w:r>
      <w:r w:rsidRPr="007228A0">
        <w:rPr>
          <w:spacing w:val="-16"/>
          <w:lang w:val="it-IT"/>
        </w:rPr>
        <w:t xml:space="preserve"> </w:t>
      </w:r>
      <w:r w:rsidRPr="007228A0">
        <w:rPr>
          <w:lang w:val="it-IT"/>
        </w:rPr>
        <w:t>tra</w:t>
      </w:r>
      <w:r w:rsidRPr="007228A0">
        <w:rPr>
          <w:spacing w:val="-19"/>
          <w:lang w:val="it-IT"/>
        </w:rPr>
        <w:t xml:space="preserve"> </w:t>
      </w:r>
      <w:r w:rsidRPr="007228A0">
        <w:rPr>
          <w:lang w:val="it-IT"/>
        </w:rPr>
        <w:t>elezioni</w:t>
      </w:r>
      <w:r w:rsidRPr="007228A0">
        <w:rPr>
          <w:spacing w:val="-16"/>
          <w:lang w:val="it-IT"/>
        </w:rPr>
        <w:t xml:space="preserve"> </w:t>
      </w:r>
      <w:r w:rsidRPr="007228A0">
        <w:rPr>
          <w:lang w:val="it-IT"/>
        </w:rPr>
        <w:t>europee,</w:t>
      </w:r>
      <w:r w:rsidRPr="007228A0">
        <w:rPr>
          <w:spacing w:val="-21"/>
          <w:lang w:val="it-IT"/>
        </w:rPr>
        <w:t xml:space="preserve"> </w:t>
      </w:r>
      <w:r w:rsidRPr="007228A0">
        <w:rPr>
          <w:lang w:val="it-IT"/>
        </w:rPr>
        <w:t>regionali</w:t>
      </w:r>
      <w:r w:rsidRPr="007228A0">
        <w:rPr>
          <w:spacing w:val="-16"/>
          <w:lang w:val="it-IT"/>
        </w:rPr>
        <w:t xml:space="preserve"> </w:t>
      </w:r>
      <w:r w:rsidRPr="007228A0">
        <w:rPr>
          <w:lang w:val="it-IT"/>
        </w:rPr>
        <w:t>e</w:t>
      </w:r>
      <w:r w:rsidRPr="007228A0">
        <w:rPr>
          <w:spacing w:val="-19"/>
          <w:lang w:val="it-IT"/>
        </w:rPr>
        <w:t xml:space="preserve"> </w:t>
      </w:r>
      <w:r w:rsidRPr="007228A0">
        <w:rPr>
          <w:lang w:val="it-IT"/>
        </w:rPr>
        <w:t>amministrative</w:t>
      </w:r>
      <w:r w:rsidRPr="007228A0">
        <w:rPr>
          <w:spacing w:val="-17"/>
          <w:lang w:val="it-IT"/>
        </w:rPr>
        <w:t xml:space="preserve"> </w:t>
      </w:r>
      <w:r w:rsidRPr="007228A0">
        <w:rPr>
          <w:lang w:val="it-IT"/>
        </w:rPr>
        <w:t>(si</w:t>
      </w:r>
      <w:r w:rsidRPr="007228A0">
        <w:rPr>
          <w:spacing w:val="-16"/>
          <w:lang w:val="it-IT"/>
        </w:rPr>
        <w:t xml:space="preserve"> </w:t>
      </w:r>
      <w:r w:rsidRPr="007228A0">
        <w:rPr>
          <w:lang w:val="it-IT"/>
        </w:rPr>
        <w:t>voterà</w:t>
      </w:r>
      <w:r w:rsidRPr="00045F34">
        <w:rPr>
          <w:spacing w:val="-21"/>
          <w:lang w:val="it-IT"/>
        </w:rPr>
        <w:t xml:space="preserve"> </w:t>
      </w:r>
      <w:r w:rsidRPr="00045F34">
        <w:rPr>
          <w:lang w:val="it-IT"/>
        </w:rPr>
        <w:t>sabato</w:t>
      </w:r>
      <w:r w:rsidR="00B21E68">
        <w:rPr>
          <w:lang w:val="it-IT"/>
        </w:rPr>
        <w:t xml:space="preserve"> </w:t>
      </w:r>
      <w:r w:rsidRPr="00045F34">
        <w:rPr>
          <w:lang w:val="it-IT"/>
        </w:rPr>
        <w:t>8 giugno e domenica 9 giugno p.v.)</w:t>
      </w:r>
      <w:r w:rsidR="00D930E6">
        <w:rPr>
          <w:lang w:val="it-IT"/>
        </w:rPr>
        <w:t>,</w:t>
      </w:r>
      <w:r w:rsidR="00CD7858">
        <w:rPr>
          <w:lang w:val="it-IT"/>
        </w:rPr>
        <w:t xml:space="preserve"> contiene disposizioni impattanti sull’ordinamento di Comuni e Città Metropolitane, quali</w:t>
      </w:r>
      <w:r w:rsidR="0059588A">
        <w:rPr>
          <w:lang w:val="it-IT"/>
        </w:rPr>
        <w:t xml:space="preserve"> quelle in materia </w:t>
      </w:r>
      <w:r w:rsidRPr="00045F34">
        <w:rPr>
          <w:lang w:val="it-IT"/>
        </w:rPr>
        <w:t xml:space="preserve"> di revisione delle anagrafi della popolazione residente e di determinazione della popolazione legale, </w:t>
      </w:r>
      <w:r w:rsidR="00E70A87">
        <w:rPr>
          <w:lang w:val="it-IT"/>
        </w:rPr>
        <w:t xml:space="preserve">nonché di </w:t>
      </w:r>
      <w:r w:rsidR="00AB00BC">
        <w:rPr>
          <w:lang w:val="it-IT"/>
        </w:rPr>
        <w:t>abrogazione</w:t>
      </w:r>
      <w:r w:rsidR="00E70A87">
        <w:rPr>
          <w:lang w:val="it-IT"/>
        </w:rPr>
        <w:t xml:space="preserve"> del vincolo del terzo mandato per</w:t>
      </w:r>
      <w:r w:rsidR="00C358D5">
        <w:rPr>
          <w:lang w:val="it-IT"/>
        </w:rPr>
        <w:t xml:space="preserve"> i Sindaci di</w:t>
      </w:r>
      <w:r w:rsidR="00E70A87">
        <w:rPr>
          <w:lang w:val="it-IT"/>
        </w:rPr>
        <w:t xml:space="preserve"> tutti i Com</w:t>
      </w:r>
      <w:r w:rsidR="007228A0">
        <w:rPr>
          <w:lang w:val="it-IT"/>
        </w:rPr>
        <w:t>un</w:t>
      </w:r>
      <w:r w:rsidR="00E70A87">
        <w:rPr>
          <w:lang w:val="it-IT"/>
        </w:rPr>
        <w:t>i fino a 5 mila abitanti</w:t>
      </w:r>
      <w:r w:rsidR="00C358D5">
        <w:rPr>
          <w:lang w:val="it-IT"/>
        </w:rPr>
        <w:t xml:space="preserve"> </w:t>
      </w:r>
      <w:r w:rsidRPr="00045F34">
        <w:rPr>
          <w:lang w:val="it-IT"/>
        </w:rPr>
        <w:t xml:space="preserve"> </w:t>
      </w:r>
      <w:r w:rsidR="00C358D5">
        <w:rPr>
          <w:lang w:val="it-IT"/>
        </w:rPr>
        <w:t>e d</w:t>
      </w:r>
      <w:r w:rsidR="00F11CC7">
        <w:rPr>
          <w:lang w:val="it-IT"/>
        </w:rPr>
        <w:t xml:space="preserve">ella possibilità del terzo mandato per i Sindaci dei Comuni da 5 </w:t>
      </w:r>
      <w:r w:rsidR="00295EE7">
        <w:rPr>
          <w:lang w:val="it-IT"/>
        </w:rPr>
        <w:t>001</w:t>
      </w:r>
      <w:r w:rsidR="00F11CC7">
        <w:rPr>
          <w:lang w:val="it-IT"/>
        </w:rPr>
        <w:t xml:space="preserve"> fino 15 mila abitanti</w:t>
      </w:r>
      <w:r w:rsidR="00BC599C">
        <w:rPr>
          <w:lang w:val="it-IT"/>
        </w:rPr>
        <w:t xml:space="preserve">. </w:t>
      </w:r>
      <w:r w:rsidRPr="00045F34">
        <w:rPr>
          <w:lang w:val="it-IT"/>
        </w:rPr>
        <w:t xml:space="preserve"> </w:t>
      </w:r>
    </w:p>
    <w:p w14:paraId="26BEF9E9" w14:textId="77777777" w:rsidR="001D5693" w:rsidRPr="00045F34" w:rsidRDefault="000537AF">
      <w:pPr>
        <w:pStyle w:val="Corpotesto"/>
        <w:spacing w:line="258" w:lineRule="exact"/>
        <w:jc w:val="both"/>
        <w:rPr>
          <w:lang w:val="it-IT"/>
        </w:rPr>
      </w:pPr>
      <w:r w:rsidRPr="00045F34">
        <w:rPr>
          <w:lang w:val="it-IT"/>
        </w:rPr>
        <w:t xml:space="preserve">Si riporta di seguito una </w:t>
      </w:r>
      <w:r w:rsidR="0031201B">
        <w:rPr>
          <w:lang w:val="it-IT"/>
        </w:rPr>
        <w:t>nota</w:t>
      </w:r>
      <w:r w:rsidR="008C54DD">
        <w:rPr>
          <w:lang w:val="it-IT"/>
        </w:rPr>
        <w:t xml:space="preserve"> sintetica, c</w:t>
      </w:r>
      <w:r w:rsidR="0031201B">
        <w:rPr>
          <w:lang w:val="it-IT"/>
        </w:rPr>
        <w:t>on i contenuti del</w:t>
      </w:r>
      <w:r w:rsidR="00EE7BBC">
        <w:rPr>
          <w:lang w:val="it-IT"/>
        </w:rPr>
        <w:t>la legge di conversi</w:t>
      </w:r>
      <w:r w:rsidR="00324204">
        <w:rPr>
          <w:lang w:val="it-IT"/>
        </w:rPr>
        <w:t xml:space="preserve">one, dando conto delle modifiche e integrazioni </w:t>
      </w:r>
      <w:r w:rsidR="00A60820">
        <w:rPr>
          <w:lang w:val="it-IT"/>
        </w:rPr>
        <w:t>approvate d</w:t>
      </w:r>
      <w:r w:rsidR="00CE6057">
        <w:rPr>
          <w:lang w:val="it-IT"/>
        </w:rPr>
        <w:t>urante il passaggio parlamentare</w:t>
      </w:r>
      <w:r w:rsidR="00F00B78">
        <w:rPr>
          <w:lang w:val="it-IT"/>
        </w:rPr>
        <w:t xml:space="preserve">. </w:t>
      </w:r>
    </w:p>
    <w:p w14:paraId="07862F39" w14:textId="77777777" w:rsidR="001D5693" w:rsidRPr="00045F34" w:rsidRDefault="001D5693">
      <w:pPr>
        <w:pStyle w:val="Corpotesto"/>
        <w:spacing w:before="11"/>
        <w:ind w:left="0"/>
        <w:rPr>
          <w:sz w:val="21"/>
          <w:lang w:val="it-IT"/>
        </w:rPr>
      </w:pPr>
    </w:p>
    <w:p w14:paraId="41CE4D70" w14:textId="77777777" w:rsidR="001D5693" w:rsidRPr="00F00B78" w:rsidRDefault="000537AF">
      <w:pPr>
        <w:pStyle w:val="Paragrafoelenco"/>
        <w:numPr>
          <w:ilvl w:val="2"/>
          <w:numId w:val="3"/>
        </w:numPr>
        <w:tabs>
          <w:tab w:val="left" w:pos="833"/>
        </w:tabs>
        <w:ind w:right="109"/>
        <w:rPr>
          <w:b/>
          <w:lang w:val="it-IT"/>
        </w:rPr>
      </w:pPr>
      <w:r w:rsidRPr="00045F34">
        <w:rPr>
          <w:b/>
          <w:color w:val="4B93D7"/>
          <w:lang w:val="it-IT"/>
        </w:rPr>
        <w:t>Disposizioni urgenti per il prolungamento delle operazioni di votazione dell’anno 2024 e per il contemporaneo svolgimento delle elezioni europee, regionali e amministrative (Art.</w:t>
      </w:r>
      <w:r w:rsidRPr="00045F34">
        <w:rPr>
          <w:b/>
          <w:color w:val="4B93D7"/>
          <w:spacing w:val="-3"/>
          <w:lang w:val="it-IT"/>
        </w:rPr>
        <w:t xml:space="preserve"> </w:t>
      </w:r>
      <w:r w:rsidRPr="00045F34">
        <w:rPr>
          <w:b/>
          <w:color w:val="4B93D7"/>
          <w:lang w:val="it-IT"/>
        </w:rPr>
        <w:t>1</w:t>
      </w:r>
      <w:r w:rsidR="00C8704B">
        <w:rPr>
          <w:b/>
          <w:color w:val="4B93D7"/>
          <w:lang w:val="it-IT"/>
        </w:rPr>
        <w:t>, commi 1-4</w:t>
      </w:r>
      <w:r w:rsidRPr="00045F34">
        <w:rPr>
          <w:b/>
          <w:color w:val="4B93D7"/>
          <w:lang w:val="it-IT"/>
        </w:rPr>
        <w:t>)</w:t>
      </w:r>
    </w:p>
    <w:p w14:paraId="227D9037" w14:textId="77777777" w:rsidR="00F00B78" w:rsidRPr="00045F34" w:rsidRDefault="00F00B78" w:rsidP="00F00B78">
      <w:pPr>
        <w:pStyle w:val="Paragrafoelenco"/>
        <w:tabs>
          <w:tab w:val="left" w:pos="833"/>
        </w:tabs>
        <w:ind w:left="832" w:right="109"/>
        <w:rPr>
          <w:b/>
          <w:lang w:val="it-IT"/>
        </w:rPr>
      </w:pPr>
    </w:p>
    <w:p w14:paraId="46124F3E" w14:textId="77777777" w:rsidR="00373234" w:rsidRDefault="000537AF" w:rsidP="00B85636">
      <w:pPr>
        <w:pStyle w:val="Corpotesto"/>
        <w:ind w:right="106"/>
        <w:jc w:val="both"/>
        <w:rPr>
          <w:u w:val="single"/>
          <w:lang w:val="it-IT"/>
        </w:rPr>
      </w:pPr>
      <w:r w:rsidRPr="00045F34">
        <w:rPr>
          <w:lang w:val="it-IT"/>
        </w:rPr>
        <w:t xml:space="preserve">La norma </w:t>
      </w:r>
      <w:r w:rsidR="00101D3C">
        <w:rPr>
          <w:lang w:val="it-IT"/>
        </w:rPr>
        <w:t xml:space="preserve">in commento </w:t>
      </w:r>
      <w:r w:rsidRPr="00045F34">
        <w:rPr>
          <w:lang w:val="it-IT"/>
        </w:rPr>
        <w:t>dispone che,</w:t>
      </w:r>
      <w:r w:rsidRPr="00B85636">
        <w:rPr>
          <w:lang w:val="it-IT"/>
        </w:rPr>
        <w:t xml:space="preserve"> </w:t>
      </w:r>
      <w:r w:rsidRPr="00045F34">
        <w:rPr>
          <w:u w:val="single"/>
          <w:lang w:val="it-IT"/>
        </w:rPr>
        <w:t>per l’anno 2024,</w:t>
      </w:r>
      <w:r w:rsidRPr="00045F34">
        <w:rPr>
          <w:lang w:val="it-IT"/>
        </w:rPr>
        <w:t xml:space="preserve"> le eventuali operazioni di votazione relative alle consultazioni elettorali e referendarie si svolgono nella giornata di domenica dalle ore 7.00 alle ore 23.00 e nella giornata di lunedì dalle ore 7 alle ore 15.00, anziché solo nella giornata di domenica, come stabilito dall’art. 1, comma 399, della legge n. 147 del   </w:t>
      </w:r>
      <w:r w:rsidR="00512615" w:rsidRPr="00045F34">
        <w:rPr>
          <w:lang w:val="it-IT"/>
        </w:rPr>
        <w:t xml:space="preserve">2013, </w:t>
      </w:r>
      <w:r w:rsidR="00D930E6" w:rsidRPr="00045F34">
        <w:rPr>
          <w:u w:val="single"/>
          <w:lang w:val="it-IT"/>
        </w:rPr>
        <w:t>ad eccezione</w:t>
      </w:r>
      <w:r w:rsidRPr="00045F34">
        <w:rPr>
          <w:spacing w:val="39"/>
          <w:u w:val="single"/>
          <w:lang w:val="it-IT"/>
        </w:rPr>
        <w:t xml:space="preserve"> </w:t>
      </w:r>
      <w:r w:rsidRPr="00045F34">
        <w:rPr>
          <w:u w:val="single"/>
          <w:lang w:val="it-IT"/>
        </w:rPr>
        <w:t xml:space="preserve">delle   elezioni   della   </w:t>
      </w:r>
      <w:r w:rsidR="00B85636" w:rsidRPr="00045F34">
        <w:rPr>
          <w:u w:val="single"/>
          <w:lang w:val="it-IT"/>
        </w:rPr>
        <w:t>prossima primavera</w:t>
      </w:r>
      <w:r w:rsidR="00B85636" w:rsidRPr="00045F34">
        <w:rPr>
          <w:lang w:val="it-IT"/>
        </w:rPr>
        <w:t xml:space="preserve"> che</w:t>
      </w:r>
      <w:r w:rsidRPr="00045F34">
        <w:rPr>
          <w:lang w:val="it-IT"/>
        </w:rPr>
        <w:t xml:space="preserve">   vedranno  </w:t>
      </w:r>
      <w:r w:rsidRPr="00384FDE">
        <w:rPr>
          <w:lang w:val="it-IT"/>
        </w:rPr>
        <w:t xml:space="preserve"> il</w:t>
      </w:r>
      <w:r w:rsidR="00B85636" w:rsidRPr="00384FDE">
        <w:rPr>
          <w:lang w:val="it-IT"/>
        </w:rPr>
        <w:t xml:space="preserve"> </w:t>
      </w:r>
      <w:r w:rsidRPr="00045F34">
        <w:rPr>
          <w:rFonts w:ascii="Times New Roman"/>
          <w:spacing w:val="-56"/>
          <w:u w:val="single"/>
          <w:lang w:val="it-IT"/>
        </w:rPr>
        <w:t xml:space="preserve"> </w:t>
      </w:r>
      <w:r w:rsidRPr="00045F34">
        <w:rPr>
          <w:u w:val="single"/>
          <w:lang w:val="it-IT"/>
        </w:rPr>
        <w:t>contemporaneo</w:t>
      </w:r>
      <w:r w:rsidRPr="00045F34">
        <w:rPr>
          <w:spacing w:val="-5"/>
          <w:u w:val="single"/>
          <w:lang w:val="it-IT"/>
        </w:rPr>
        <w:t xml:space="preserve"> </w:t>
      </w:r>
      <w:r w:rsidRPr="00045F34">
        <w:rPr>
          <w:u w:val="single"/>
          <w:lang w:val="it-IT"/>
        </w:rPr>
        <w:t>svolgimento</w:t>
      </w:r>
      <w:r w:rsidRPr="00045F34">
        <w:rPr>
          <w:spacing w:val="-7"/>
          <w:u w:val="single"/>
          <w:lang w:val="it-IT"/>
        </w:rPr>
        <w:t xml:space="preserve"> </w:t>
      </w:r>
      <w:r w:rsidRPr="00045F34">
        <w:rPr>
          <w:u w:val="single"/>
          <w:lang w:val="it-IT"/>
        </w:rPr>
        <w:t>delle</w:t>
      </w:r>
      <w:r w:rsidRPr="00045F34">
        <w:rPr>
          <w:spacing w:val="-7"/>
          <w:u w:val="single"/>
          <w:lang w:val="it-IT"/>
        </w:rPr>
        <w:t xml:space="preserve"> </w:t>
      </w:r>
      <w:r w:rsidRPr="00045F34">
        <w:rPr>
          <w:u w:val="single"/>
          <w:lang w:val="it-IT"/>
        </w:rPr>
        <w:t>elezioni</w:t>
      </w:r>
      <w:r w:rsidRPr="00045F34">
        <w:rPr>
          <w:spacing w:val="-5"/>
          <w:u w:val="single"/>
          <w:lang w:val="it-IT"/>
        </w:rPr>
        <w:t xml:space="preserve"> </w:t>
      </w:r>
      <w:r w:rsidRPr="00045F34">
        <w:rPr>
          <w:u w:val="single"/>
          <w:lang w:val="it-IT"/>
        </w:rPr>
        <w:t>europee,</w:t>
      </w:r>
      <w:r w:rsidRPr="00045F34">
        <w:rPr>
          <w:spacing w:val="-6"/>
          <w:u w:val="single"/>
          <w:lang w:val="it-IT"/>
        </w:rPr>
        <w:t xml:space="preserve"> </w:t>
      </w:r>
      <w:r w:rsidRPr="00045F34">
        <w:rPr>
          <w:u w:val="single"/>
          <w:lang w:val="it-IT"/>
        </w:rPr>
        <w:t>amministrative</w:t>
      </w:r>
      <w:r w:rsidRPr="00045F34">
        <w:rPr>
          <w:spacing w:val="-7"/>
          <w:u w:val="single"/>
          <w:lang w:val="it-IT"/>
        </w:rPr>
        <w:t xml:space="preserve"> </w:t>
      </w:r>
      <w:r w:rsidRPr="00045F34">
        <w:rPr>
          <w:u w:val="single"/>
          <w:lang w:val="it-IT"/>
        </w:rPr>
        <w:t>e</w:t>
      </w:r>
      <w:r w:rsidRPr="00045F34">
        <w:rPr>
          <w:spacing w:val="-8"/>
          <w:u w:val="single"/>
          <w:lang w:val="it-IT"/>
        </w:rPr>
        <w:t xml:space="preserve"> </w:t>
      </w:r>
      <w:r w:rsidRPr="00045F34">
        <w:rPr>
          <w:u w:val="single"/>
          <w:lang w:val="it-IT"/>
        </w:rPr>
        <w:t>regionali.</w:t>
      </w:r>
    </w:p>
    <w:p w14:paraId="4776DF61" w14:textId="77777777" w:rsidR="001D5693" w:rsidRPr="00045F34" w:rsidRDefault="00D357AC" w:rsidP="00373234">
      <w:pPr>
        <w:pStyle w:val="Corpotesto"/>
        <w:jc w:val="both"/>
        <w:rPr>
          <w:lang w:val="it-IT"/>
        </w:rPr>
      </w:pPr>
      <w:r w:rsidRPr="00D357AC">
        <w:rPr>
          <w:lang w:val="it-IT"/>
        </w:rPr>
        <w:t>La norma prevede</w:t>
      </w:r>
      <w:r w:rsidR="00D930E6">
        <w:rPr>
          <w:lang w:val="it-IT"/>
        </w:rPr>
        <w:t xml:space="preserve"> che</w:t>
      </w:r>
      <w:r w:rsidR="00384FDE">
        <w:rPr>
          <w:lang w:val="it-IT"/>
        </w:rPr>
        <w:t xml:space="preserve">, </w:t>
      </w:r>
      <w:r w:rsidR="000537AF" w:rsidRPr="00045F34">
        <w:rPr>
          <w:b/>
          <w:u w:val="single"/>
          <w:lang w:val="it-IT"/>
        </w:rPr>
        <w:t>solo per la tornata elettorale primaverile del</w:t>
      </w:r>
      <w:r w:rsidR="000537AF" w:rsidRPr="00045F34">
        <w:rPr>
          <w:b/>
          <w:spacing w:val="-18"/>
          <w:u w:val="single"/>
          <w:lang w:val="it-IT"/>
        </w:rPr>
        <w:t xml:space="preserve"> </w:t>
      </w:r>
      <w:r w:rsidR="000537AF" w:rsidRPr="00045F34">
        <w:rPr>
          <w:b/>
          <w:u w:val="single"/>
          <w:lang w:val="it-IT"/>
        </w:rPr>
        <w:t>2024</w:t>
      </w:r>
      <w:r w:rsidR="00384FDE">
        <w:rPr>
          <w:b/>
          <w:u w:val="single"/>
          <w:lang w:val="it-IT"/>
        </w:rPr>
        <w:t xml:space="preserve">, </w:t>
      </w:r>
      <w:r w:rsidR="000537AF" w:rsidRPr="00045F34">
        <w:rPr>
          <w:rFonts w:ascii="Times New Roman"/>
          <w:spacing w:val="-56"/>
          <w:u w:val="single"/>
          <w:lang w:val="it-IT"/>
        </w:rPr>
        <w:t xml:space="preserve"> </w:t>
      </w:r>
      <w:r w:rsidR="000537AF" w:rsidRPr="00045F34">
        <w:rPr>
          <w:b/>
          <w:u w:val="single"/>
          <w:lang w:val="it-IT"/>
        </w:rPr>
        <w:t>le</w:t>
      </w:r>
      <w:r w:rsidR="000537AF" w:rsidRPr="00045F34">
        <w:rPr>
          <w:b/>
          <w:spacing w:val="15"/>
          <w:u w:val="single"/>
          <w:lang w:val="it-IT"/>
        </w:rPr>
        <w:t xml:space="preserve"> </w:t>
      </w:r>
      <w:r w:rsidR="000537AF" w:rsidRPr="00045F34">
        <w:rPr>
          <w:b/>
          <w:u w:val="single"/>
          <w:lang w:val="it-IT"/>
        </w:rPr>
        <w:t>operazioni</w:t>
      </w:r>
      <w:r w:rsidR="000537AF" w:rsidRPr="00045F34">
        <w:rPr>
          <w:b/>
          <w:spacing w:val="16"/>
          <w:u w:val="single"/>
          <w:lang w:val="it-IT"/>
        </w:rPr>
        <w:t xml:space="preserve"> </w:t>
      </w:r>
      <w:r w:rsidR="000537AF" w:rsidRPr="00045F34">
        <w:rPr>
          <w:b/>
          <w:u w:val="single"/>
          <w:lang w:val="it-IT"/>
        </w:rPr>
        <w:t>di</w:t>
      </w:r>
      <w:r w:rsidR="000537AF" w:rsidRPr="00045F34">
        <w:rPr>
          <w:b/>
          <w:spacing w:val="17"/>
          <w:u w:val="single"/>
          <w:lang w:val="it-IT"/>
        </w:rPr>
        <w:t xml:space="preserve"> </w:t>
      </w:r>
      <w:r w:rsidR="000537AF" w:rsidRPr="00045F34">
        <w:rPr>
          <w:b/>
          <w:u w:val="single"/>
          <w:lang w:val="it-IT"/>
        </w:rPr>
        <w:t>voto</w:t>
      </w:r>
      <w:r w:rsidR="000537AF" w:rsidRPr="00045F34">
        <w:rPr>
          <w:b/>
          <w:spacing w:val="15"/>
          <w:u w:val="single"/>
          <w:lang w:val="it-IT"/>
        </w:rPr>
        <w:t xml:space="preserve"> </w:t>
      </w:r>
      <w:r w:rsidR="000537AF" w:rsidRPr="00045F34">
        <w:rPr>
          <w:b/>
          <w:u w:val="single"/>
          <w:lang w:val="it-IT"/>
        </w:rPr>
        <w:t>si</w:t>
      </w:r>
      <w:r w:rsidR="000537AF" w:rsidRPr="00045F34">
        <w:rPr>
          <w:b/>
          <w:spacing w:val="17"/>
          <w:u w:val="single"/>
          <w:lang w:val="it-IT"/>
        </w:rPr>
        <w:t xml:space="preserve"> </w:t>
      </w:r>
      <w:r w:rsidR="000537AF" w:rsidRPr="00045F34">
        <w:rPr>
          <w:b/>
          <w:u w:val="single"/>
          <w:lang w:val="it-IT"/>
        </w:rPr>
        <w:t>svolgono</w:t>
      </w:r>
      <w:r w:rsidR="000537AF" w:rsidRPr="00045F34">
        <w:rPr>
          <w:b/>
          <w:spacing w:val="13"/>
          <w:u w:val="single"/>
          <w:lang w:val="it-IT"/>
        </w:rPr>
        <w:t xml:space="preserve"> </w:t>
      </w:r>
      <w:r w:rsidR="000537AF" w:rsidRPr="00045F34">
        <w:rPr>
          <w:b/>
          <w:u w:val="single"/>
          <w:lang w:val="it-IT"/>
        </w:rPr>
        <w:t>nella</w:t>
      </w:r>
      <w:r w:rsidR="000537AF" w:rsidRPr="00045F34">
        <w:rPr>
          <w:b/>
          <w:spacing w:val="16"/>
          <w:u w:val="single"/>
          <w:lang w:val="it-IT"/>
        </w:rPr>
        <w:t xml:space="preserve"> </w:t>
      </w:r>
      <w:r w:rsidR="000537AF" w:rsidRPr="00045F34">
        <w:rPr>
          <w:b/>
          <w:u w:val="single"/>
          <w:lang w:val="it-IT"/>
        </w:rPr>
        <w:t>giornata</w:t>
      </w:r>
      <w:r w:rsidR="000537AF" w:rsidRPr="00045F34">
        <w:rPr>
          <w:b/>
          <w:spacing w:val="15"/>
          <w:u w:val="single"/>
          <w:lang w:val="it-IT"/>
        </w:rPr>
        <w:t xml:space="preserve"> </w:t>
      </w:r>
      <w:r w:rsidR="000537AF" w:rsidRPr="00045F34">
        <w:rPr>
          <w:b/>
          <w:u w:val="single"/>
          <w:lang w:val="it-IT"/>
        </w:rPr>
        <w:t>di</w:t>
      </w:r>
      <w:r w:rsidR="000537AF" w:rsidRPr="00045F34">
        <w:rPr>
          <w:b/>
          <w:spacing w:val="18"/>
          <w:u w:val="single"/>
          <w:lang w:val="it-IT"/>
        </w:rPr>
        <w:t xml:space="preserve"> </w:t>
      </w:r>
      <w:r w:rsidR="000537AF" w:rsidRPr="00045F34">
        <w:rPr>
          <w:b/>
          <w:u w:val="single"/>
          <w:lang w:val="it-IT"/>
        </w:rPr>
        <w:t>sabato</w:t>
      </w:r>
      <w:r w:rsidR="000537AF" w:rsidRPr="00045F34">
        <w:rPr>
          <w:b/>
          <w:spacing w:val="19"/>
          <w:u w:val="single"/>
          <w:lang w:val="it-IT"/>
        </w:rPr>
        <w:t xml:space="preserve"> </w:t>
      </w:r>
      <w:r w:rsidR="000537AF" w:rsidRPr="00045F34">
        <w:rPr>
          <w:b/>
          <w:u w:val="single"/>
          <w:lang w:val="it-IT"/>
        </w:rPr>
        <w:t>8</w:t>
      </w:r>
      <w:r w:rsidR="000537AF" w:rsidRPr="00045F34">
        <w:rPr>
          <w:b/>
          <w:spacing w:val="13"/>
          <w:u w:val="single"/>
          <w:lang w:val="it-IT"/>
        </w:rPr>
        <w:t xml:space="preserve"> </w:t>
      </w:r>
      <w:r w:rsidR="000537AF" w:rsidRPr="00045F34">
        <w:rPr>
          <w:b/>
          <w:u w:val="single"/>
          <w:lang w:val="it-IT"/>
        </w:rPr>
        <w:t>giugno,</w:t>
      </w:r>
      <w:r w:rsidR="000537AF" w:rsidRPr="00045F34">
        <w:rPr>
          <w:b/>
          <w:spacing w:val="17"/>
          <w:u w:val="single"/>
          <w:lang w:val="it-IT"/>
        </w:rPr>
        <w:t xml:space="preserve"> </w:t>
      </w:r>
      <w:r w:rsidR="000537AF" w:rsidRPr="00045F34">
        <w:rPr>
          <w:b/>
          <w:u w:val="single"/>
          <w:lang w:val="it-IT"/>
        </w:rPr>
        <w:t>dalle</w:t>
      </w:r>
      <w:r w:rsidR="000537AF" w:rsidRPr="00045F34">
        <w:rPr>
          <w:b/>
          <w:spacing w:val="15"/>
          <w:u w:val="single"/>
          <w:lang w:val="it-IT"/>
        </w:rPr>
        <w:t xml:space="preserve"> </w:t>
      </w:r>
      <w:r w:rsidR="000537AF" w:rsidRPr="00045F34">
        <w:rPr>
          <w:b/>
          <w:u w:val="single"/>
          <w:lang w:val="it-IT"/>
        </w:rPr>
        <w:t>ore</w:t>
      </w:r>
      <w:r w:rsidR="000537AF" w:rsidRPr="00045F34">
        <w:rPr>
          <w:b/>
          <w:spacing w:val="14"/>
          <w:u w:val="single"/>
          <w:lang w:val="it-IT"/>
        </w:rPr>
        <w:t xml:space="preserve"> </w:t>
      </w:r>
      <w:r w:rsidR="00794252">
        <w:rPr>
          <w:b/>
          <w:spacing w:val="14"/>
          <w:u w:val="single"/>
          <w:lang w:val="it-IT"/>
        </w:rPr>
        <w:t>15</w:t>
      </w:r>
      <w:r w:rsidR="00373234">
        <w:rPr>
          <w:b/>
          <w:spacing w:val="14"/>
          <w:u w:val="single"/>
          <w:lang w:val="it-IT"/>
        </w:rPr>
        <w:t xml:space="preserve"> </w:t>
      </w:r>
      <w:r w:rsidR="000537AF" w:rsidRPr="00045F34">
        <w:rPr>
          <w:b/>
          <w:u w:val="single"/>
          <w:lang w:val="it-IT"/>
        </w:rPr>
        <w:t>alle</w:t>
      </w:r>
      <w:r w:rsidR="00373234">
        <w:rPr>
          <w:b/>
          <w:u w:val="single"/>
          <w:lang w:val="it-IT"/>
        </w:rPr>
        <w:t xml:space="preserve"> </w:t>
      </w:r>
      <w:r w:rsidR="000537AF" w:rsidRPr="00045F34">
        <w:rPr>
          <w:rFonts w:ascii="Times New Roman"/>
          <w:spacing w:val="-56"/>
          <w:u w:val="single"/>
          <w:lang w:val="it-IT"/>
        </w:rPr>
        <w:t xml:space="preserve"> </w:t>
      </w:r>
      <w:r w:rsidR="000537AF" w:rsidRPr="00045F34">
        <w:rPr>
          <w:b/>
          <w:u w:val="single"/>
          <w:lang w:val="it-IT"/>
        </w:rPr>
        <w:t xml:space="preserve">ore 23, e nella giornata di domenica 9 giugno, dalle ore 7 alle ore </w:t>
      </w:r>
      <w:r w:rsidR="00373234">
        <w:rPr>
          <w:b/>
          <w:u w:val="single"/>
          <w:lang w:val="it-IT"/>
        </w:rPr>
        <w:t>23</w:t>
      </w:r>
      <w:r w:rsidR="000537AF" w:rsidRPr="00045F34">
        <w:rPr>
          <w:lang w:val="it-IT"/>
        </w:rPr>
        <w:t>.</w:t>
      </w:r>
    </w:p>
    <w:p w14:paraId="36646E9F" w14:textId="77777777" w:rsidR="001D5693" w:rsidRPr="00045F34" w:rsidRDefault="001D5693">
      <w:pPr>
        <w:pStyle w:val="Corpotesto"/>
        <w:spacing w:before="11"/>
        <w:ind w:left="0"/>
        <w:rPr>
          <w:sz w:val="21"/>
          <w:lang w:val="it-IT"/>
        </w:rPr>
      </w:pPr>
    </w:p>
    <w:p w14:paraId="45F49032" w14:textId="77777777" w:rsidR="001D5693" w:rsidRPr="00E95C1D" w:rsidRDefault="00D357AC" w:rsidP="00E95C1D">
      <w:pPr>
        <w:pStyle w:val="Corpotesto"/>
        <w:ind w:right="108"/>
        <w:jc w:val="both"/>
        <w:rPr>
          <w:lang w:val="it-IT"/>
        </w:rPr>
      </w:pPr>
      <w:r>
        <w:rPr>
          <w:lang w:val="it-IT"/>
        </w:rPr>
        <w:t xml:space="preserve">La </w:t>
      </w:r>
      <w:r w:rsidR="004413CD">
        <w:rPr>
          <w:lang w:val="it-IT"/>
        </w:rPr>
        <w:t>norma</w:t>
      </w:r>
      <w:r>
        <w:rPr>
          <w:lang w:val="it-IT"/>
        </w:rPr>
        <w:t xml:space="preserve"> </w:t>
      </w:r>
      <w:r w:rsidR="004413CD">
        <w:rPr>
          <w:lang w:val="it-IT"/>
        </w:rPr>
        <w:t>inoltre</w:t>
      </w:r>
      <w:r w:rsidR="000537AF" w:rsidRPr="00045F34">
        <w:rPr>
          <w:lang w:val="it-IT"/>
        </w:rPr>
        <w:t xml:space="preserve"> detta </w:t>
      </w:r>
      <w:r w:rsidR="004413CD">
        <w:rPr>
          <w:lang w:val="it-IT"/>
        </w:rPr>
        <w:t>disposizioni</w:t>
      </w:r>
      <w:r w:rsidR="000537AF" w:rsidRPr="00045F34">
        <w:rPr>
          <w:lang w:val="it-IT"/>
        </w:rPr>
        <w:t xml:space="preserve"> per il caso di abbinamento delle citate consultazioni per l’elezione</w:t>
      </w:r>
      <w:r w:rsidR="00E95C1D">
        <w:rPr>
          <w:lang w:val="it-IT"/>
        </w:rPr>
        <w:t xml:space="preserve"> </w:t>
      </w:r>
      <w:r w:rsidR="000537AF" w:rsidRPr="00045F34">
        <w:rPr>
          <w:lang w:val="it-IT"/>
        </w:rPr>
        <w:t xml:space="preserve">dei membri del Parlamento europeo spettanti all’Italia con un turno di elezioni </w:t>
      </w:r>
      <w:r w:rsidR="000537AF" w:rsidRPr="00045F34">
        <w:rPr>
          <w:lang w:val="it-IT"/>
        </w:rPr>
        <w:lastRenderedPageBreak/>
        <w:t xml:space="preserve">amministrative e con eventuali elezioni regionali, nonché con altre consultazioni elettorali o referendarie. </w:t>
      </w:r>
      <w:r w:rsidR="000537AF" w:rsidRPr="00E95C1D">
        <w:rPr>
          <w:lang w:val="it-IT"/>
        </w:rPr>
        <w:t>In particolare, viene previsto che:</w:t>
      </w:r>
    </w:p>
    <w:p w14:paraId="524C9E1D" w14:textId="77777777" w:rsidR="001D5693" w:rsidRPr="00045F34" w:rsidRDefault="000537AF">
      <w:pPr>
        <w:pStyle w:val="Paragrafoelenco"/>
        <w:numPr>
          <w:ilvl w:val="0"/>
          <w:numId w:val="2"/>
        </w:numPr>
        <w:tabs>
          <w:tab w:val="left" w:pos="279"/>
        </w:tabs>
        <w:ind w:right="107" w:firstLine="0"/>
        <w:rPr>
          <w:lang w:val="it-IT"/>
        </w:rPr>
      </w:pPr>
      <w:r w:rsidRPr="00045F34">
        <w:rPr>
          <w:lang w:val="it-IT"/>
        </w:rPr>
        <w:t>ai fini del computo dei termini procedimentali si considera giorno della votazione quello della</w:t>
      </w:r>
      <w:r w:rsidRPr="00045F34">
        <w:rPr>
          <w:spacing w:val="-2"/>
          <w:lang w:val="it-IT"/>
        </w:rPr>
        <w:t xml:space="preserve"> </w:t>
      </w:r>
      <w:r w:rsidRPr="00045F34">
        <w:rPr>
          <w:lang w:val="it-IT"/>
        </w:rPr>
        <w:t>domenica;</w:t>
      </w:r>
    </w:p>
    <w:p w14:paraId="605A911B" w14:textId="77777777" w:rsidR="001D5693" w:rsidRPr="00045F34" w:rsidRDefault="000537AF">
      <w:pPr>
        <w:pStyle w:val="Paragrafoelenco"/>
        <w:numPr>
          <w:ilvl w:val="0"/>
          <w:numId w:val="2"/>
        </w:numPr>
        <w:tabs>
          <w:tab w:val="left" w:pos="305"/>
        </w:tabs>
        <w:spacing w:before="79"/>
        <w:ind w:right="111" w:firstLine="0"/>
        <w:rPr>
          <w:lang w:val="it-IT"/>
        </w:rPr>
      </w:pPr>
      <w:r w:rsidRPr="00045F34">
        <w:rPr>
          <w:lang w:val="it-IT"/>
        </w:rPr>
        <w:t>la consegna del materiale destinato agli uffici elettorali di sezione (lista degli elettori, manifesto con le liste dei candidati, schede elettorali, verbali di nomina degli scrutatori, matite copiative, urne, designazioni dei rappresentanti di lista, bollo della sezione, ecc.) è effettuata entro le ore 7:30 del sabato di inizio delle operazioni di votazione e l’ufficio elettorale di sezione è costituito alle ore</w:t>
      </w:r>
      <w:r w:rsidRPr="00045F34">
        <w:rPr>
          <w:spacing w:val="-7"/>
          <w:lang w:val="it-IT"/>
        </w:rPr>
        <w:t xml:space="preserve"> </w:t>
      </w:r>
      <w:r w:rsidRPr="00045F34">
        <w:rPr>
          <w:lang w:val="it-IT"/>
        </w:rPr>
        <w:t>9;</w:t>
      </w:r>
    </w:p>
    <w:p w14:paraId="0D7D9918" w14:textId="77777777" w:rsidR="001D5693" w:rsidRPr="00767B09" w:rsidRDefault="000537AF" w:rsidP="00F54DE3">
      <w:pPr>
        <w:pStyle w:val="Paragrafoelenco"/>
        <w:numPr>
          <w:ilvl w:val="0"/>
          <w:numId w:val="2"/>
        </w:numPr>
        <w:tabs>
          <w:tab w:val="left" w:pos="319"/>
        </w:tabs>
        <w:ind w:right="109" w:firstLine="0"/>
        <w:rPr>
          <w:lang w:val="it-IT"/>
        </w:rPr>
      </w:pPr>
      <w:r w:rsidRPr="00767B09">
        <w:rPr>
          <w:lang w:val="it-IT"/>
        </w:rPr>
        <w:t>una volta completate le attività di votazione e di riscontro dei votanti per ciascuna consultazione,</w:t>
      </w:r>
      <w:r w:rsidRPr="00767B09">
        <w:rPr>
          <w:spacing w:val="-11"/>
          <w:lang w:val="it-IT"/>
        </w:rPr>
        <w:t xml:space="preserve"> </w:t>
      </w:r>
      <w:r w:rsidRPr="00767B09">
        <w:rPr>
          <w:lang w:val="it-IT"/>
        </w:rPr>
        <w:t>l’ufficio</w:t>
      </w:r>
      <w:r w:rsidRPr="00767B09">
        <w:rPr>
          <w:spacing w:val="-6"/>
          <w:lang w:val="it-IT"/>
        </w:rPr>
        <w:t xml:space="preserve"> </w:t>
      </w:r>
      <w:r w:rsidRPr="00767B09">
        <w:rPr>
          <w:lang w:val="it-IT"/>
        </w:rPr>
        <w:t>elettorale</w:t>
      </w:r>
      <w:r w:rsidRPr="00767B09">
        <w:rPr>
          <w:spacing w:val="-9"/>
          <w:lang w:val="it-IT"/>
        </w:rPr>
        <w:t xml:space="preserve"> </w:t>
      </w:r>
      <w:r w:rsidRPr="00767B09">
        <w:rPr>
          <w:lang w:val="it-IT"/>
        </w:rPr>
        <w:t>di</w:t>
      </w:r>
      <w:r w:rsidRPr="00767B09">
        <w:rPr>
          <w:spacing w:val="-6"/>
          <w:lang w:val="it-IT"/>
        </w:rPr>
        <w:t xml:space="preserve"> </w:t>
      </w:r>
      <w:r w:rsidRPr="00767B09">
        <w:rPr>
          <w:lang w:val="it-IT"/>
        </w:rPr>
        <w:t>sezione</w:t>
      </w:r>
      <w:r w:rsidRPr="00767B09">
        <w:rPr>
          <w:spacing w:val="-9"/>
          <w:lang w:val="it-IT"/>
        </w:rPr>
        <w:t xml:space="preserve"> </w:t>
      </w:r>
      <w:r w:rsidRPr="00767B09">
        <w:rPr>
          <w:lang w:val="it-IT"/>
        </w:rPr>
        <w:t>procede</w:t>
      </w:r>
      <w:r w:rsidRPr="00767B09">
        <w:rPr>
          <w:spacing w:val="-8"/>
          <w:lang w:val="it-IT"/>
        </w:rPr>
        <w:t xml:space="preserve"> </w:t>
      </w:r>
      <w:r w:rsidRPr="00767B09">
        <w:rPr>
          <w:lang w:val="it-IT"/>
        </w:rPr>
        <w:t>allo</w:t>
      </w:r>
      <w:r w:rsidRPr="00767B09">
        <w:rPr>
          <w:spacing w:val="-7"/>
          <w:lang w:val="it-IT"/>
        </w:rPr>
        <w:t xml:space="preserve"> </w:t>
      </w:r>
      <w:r w:rsidRPr="00767B09">
        <w:rPr>
          <w:lang w:val="it-IT"/>
        </w:rPr>
        <w:t>scrutinio</w:t>
      </w:r>
      <w:r w:rsidRPr="00767B09">
        <w:rPr>
          <w:spacing w:val="-8"/>
          <w:lang w:val="it-IT"/>
        </w:rPr>
        <w:t xml:space="preserve"> </w:t>
      </w:r>
      <w:r w:rsidRPr="00767B09">
        <w:rPr>
          <w:lang w:val="it-IT"/>
        </w:rPr>
        <w:t>per</w:t>
      </w:r>
      <w:r w:rsidRPr="00767B09">
        <w:rPr>
          <w:spacing w:val="-9"/>
          <w:lang w:val="it-IT"/>
        </w:rPr>
        <w:t xml:space="preserve"> </w:t>
      </w:r>
      <w:r w:rsidRPr="00767B09">
        <w:rPr>
          <w:lang w:val="it-IT"/>
        </w:rPr>
        <w:t>l’elezione</w:t>
      </w:r>
      <w:r w:rsidRPr="00767B09">
        <w:rPr>
          <w:spacing w:val="-6"/>
          <w:lang w:val="it-IT"/>
        </w:rPr>
        <w:t xml:space="preserve"> </w:t>
      </w:r>
      <w:r w:rsidRPr="00767B09">
        <w:rPr>
          <w:lang w:val="it-IT"/>
        </w:rPr>
        <w:t>dei</w:t>
      </w:r>
      <w:r w:rsidRPr="00767B09">
        <w:rPr>
          <w:spacing w:val="-9"/>
          <w:lang w:val="it-IT"/>
        </w:rPr>
        <w:t xml:space="preserve"> </w:t>
      </w:r>
      <w:r w:rsidRPr="00767B09">
        <w:rPr>
          <w:lang w:val="it-IT"/>
        </w:rPr>
        <w:t xml:space="preserve">membri del Parlamento europeo spettanti all’Italia, mentre </w:t>
      </w:r>
      <w:r w:rsidRPr="00767B09">
        <w:rPr>
          <w:u w:val="single"/>
          <w:lang w:val="it-IT"/>
        </w:rPr>
        <w:t>lo spoglio delle schede relative</w:t>
      </w:r>
      <w:r w:rsidR="00767B09">
        <w:rPr>
          <w:u w:val="single"/>
          <w:lang w:val="it-IT"/>
        </w:rPr>
        <w:t xml:space="preserve"> alle elezioni</w:t>
      </w:r>
      <w:r w:rsidRPr="00767B09">
        <w:rPr>
          <w:u w:val="single"/>
          <w:lang w:val="it-IT"/>
        </w:rPr>
        <w:t xml:space="preserve"> regionali e a quelle comunali e circoscrizionali ha inizio alle ore 14 del lunedì,</w:t>
      </w:r>
      <w:r w:rsidR="00F54DE3" w:rsidRPr="00767B09">
        <w:rPr>
          <w:u w:val="single"/>
          <w:lang w:val="it-IT"/>
        </w:rPr>
        <w:t xml:space="preserve"> </w:t>
      </w:r>
      <w:r w:rsidR="00767B09" w:rsidRPr="00767B09">
        <w:rPr>
          <w:u w:val="single"/>
          <w:lang w:val="it-IT"/>
        </w:rPr>
        <w:t>dando la</w:t>
      </w:r>
      <w:r w:rsidRPr="00767B09">
        <w:rPr>
          <w:u w:val="single"/>
          <w:lang w:val="it-IT"/>
        </w:rPr>
        <w:t xml:space="preserve"> precedenza allo spoglio delle schede per le</w:t>
      </w:r>
      <w:r w:rsidRPr="00767B09">
        <w:rPr>
          <w:spacing w:val="-11"/>
          <w:u w:val="single"/>
          <w:lang w:val="it-IT"/>
        </w:rPr>
        <w:t xml:space="preserve"> </w:t>
      </w:r>
      <w:r w:rsidRPr="00767B09">
        <w:rPr>
          <w:u w:val="single"/>
          <w:lang w:val="it-IT"/>
        </w:rPr>
        <w:t>regionali;</w:t>
      </w:r>
    </w:p>
    <w:p w14:paraId="2666F0DB" w14:textId="73678857" w:rsidR="001D5693" w:rsidRPr="00767B09" w:rsidRDefault="00767B09" w:rsidP="00767B09">
      <w:pPr>
        <w:pStyle w:val="Paragrafoelenco"/>
        <w:numPr>
          <w:ilvl w:val="0"/>
          <w:numId w:val="2"/>
        </w:numPr>
        <w:tabs>
          <w:tab w:val="left" w:pos="270"/>
        </w:tabs>
        <w:ind w:right="111" w:firstLine="0"/>
        <w:rPr>
          <w:lang w:val="it-IT"/>
        </w:rPr>
      </w:pPr>
      <w:r w:rsidRPr="00767B09">
        <w:rPr>
          <w:lang w:val="it-IT"/>
        </w:rPr>
        <w:t>l’entità degli onorari forfetari spettanti ai componenti degli</w:t>
      </w:r>
      <w:r w:rsidR="000537AF" w:rsidRPr="00767B09">
        <w:rPr>
          <w:lang w:val="it-IT"/>
        </w:rPr>
        <w:t xml:space="preserve"> uffici elettorali di sezione è quella stabilita per le elezioni politiche e amministrative ex articolo 1, commi 1, 2 e 4 della legge 13 marzo 1980,</w:t>
      </w:r>
      <w:r w:rsidR="000537AF" w:rsidRPr="00767B09">
        <w:rPr>
          <w:spacing w:val="-7"/>
          <w:lang w:val="it-IT"/>
        </w:rPr>
        <w:t xml:space="preserve"> </w:t>
      </w:r>
      <w:r>
        <w:rPr>
          <w:spacing w:val="-7"/>
          <w:lang w:val="it-IT"/>
        </w:rPr>
        <w:t xml:space="preserve">n. </w:t>
      </w:r>
      <w:r w:rsidR="000537AF" w:rsidRPr="00767B09">
        <w:rPr>
          <w:lang w:val="it-IT"/>
        </w:rPr>
        <w:t>70;</w:t>
      </w:r>
    </w:p>
    <w:p w14:paraId="5632D1CE" w14:textId="2B155FE4" w:rsidR="001D5693" w:rsidRPr="00A13062" w:rsidRDefault="00FA5403" w:rsidP="00A13062">
      <w:pPr>
        <w:pStyle w:val="Paragrafoelenco"/>
        <w:numPr>
          <w:ilvl w:val="0"/>
          <w:numId w:val="2"/>
        </w:numPr>
        <w:tabs>
          <w:tab w:val="left" w:pos="336"/>
        </w:tabs>
        <w:spacing w:line="258" w:lineRule="exact"/>
        <w:ind w:right="108" w:firstLine="0"/>
        <w:rPr>
          <w:lang w:val="it-IT"/>
        </w:rPr>
      </w:pPr>
      <w:r>
        <w:rPr>
          <w:noProof/>
        </w:rPr>
        <mc:AlternateContent>
          <mc:Choice Requires="wps">
            <w:drawing>
              <wp:anchor distT="0" distB="0" distL="114300" distR="114300" simplePos="0" relativeHeight="251658240" behindDoc="0" locked="0" layoutInCell="1" allowOverlap="1" wp14:anchorId="0C783318" wp14:editId="7A4CE9BF">
                <wp:simplePos x="0" y="0"/>
                <wp:positionH relativeFrom="page">
                  <wp:posOffset>5117465</wp:posOffset>
                </wp:positionH>
                <wp:positionV relativeFrom="paragraph">
                  <wp:posOffset>1464945</wp:posOffset>
                </wp:positionV>
                <wp:extent cx="1722120" cy="0"/>
                <wp:effectExtent l="0" t="0" r="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2212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3E1EA5D" id="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2.95pt,115.35pt" to="538.55pt,115.3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" strokeweight=".72pt">
                <o:lock v:ext="edit" shapetype="f"/>
                <w10:wrap anchorx="page"/>
              </v:line>
            </w:pict>
          </mc:Fallback>
        </mc:AlternateContent>
      </w:r>
      <w:r w:rsidR="000537AF" w:rsidRPr="00A13062">
        <w:rPr>
          <w:lang w:val="it-IT"/>
        </w:rPr>
        <w:t xml:space="preserve">per gli adempimenti comuni alle diverse tipologie di consultazione si applicano le disposizioni dettate per l’elezione dei membri del Parlamento europeo spettanti all’Italia e il riparto delle relative spese tra gli enti interessati (Stato, </w:t>
      </w:r>
      <w:r w:rsidR="00CA4DB2">
        <w:rPr>
          <w:lang w:val="it-IT"/>
        </w:rPr>
        <w:t>R</w:t>
      </w:r>
      <w:r w:rsidR="00CA4DB2" w:rsidRPr="00A13062">
        <w:rPr>
          <w:lang w:val="it-IT"/>
        </w:rPr>
        <w:t>egione</w:t>
      </w:r>
      <w:r w:rsidR="000537AF" w:rsidRPr="00A13062">
        <w:rPr>
          <w:lang w:val="it-IT"/>
        </w:rPr>
        <w:t xml:space="preserve">, </w:t>
      </w:r>
      <w:r w:rsidR="00AE7158">
        <w:rPr>
          <w:lang w:val="it-IT"/>
        </w:rPr>
        <w:t>C</w:t>
      </w:r>
      <w:r w:rsidR="000537AF" w:rsidRPr="00A13062">
        <w:rPr>
          <w:lang w:val="it-IT"/>
        </w:rPr>
        <w:t xml:space="preserve">omune) è disciplinato dall’articolo 17, nono comma, della legge 23 aprile 1976, n. 136. In base a tale norma, fermo restando che le spese sono ripartite in misura proporzionale tra gli enti medesimi, l’importo massimo da rimborsare a ciascun </w:t>
      </w:r>
      <w:r w:rsidR="00AE7158">
        <w:rPr>
          <w:lang w:val="it-IT"/>
        </w:rPr>
        <w:t>C</w:t>
      </w:r>
      <w:r w:rsidR="000537AF" w:rsidRPr="00A13062">
        <w:rPr>
          <w:lang w:val="it-IT"/>
        </w:rPr>
        <w:t>omune – fatta eccezione per il trattamento economico dei componenti dei seggi – è stabilito con decreto del Ministero dell’interno con distinti parametri per sezione elettorale e per elettore, calcolati rispettivamente nella misura del 40 per cento e del 60 per cento del totale da ripar</w:t>
      </w:r>
      <w:r w:rsidR="000537AF" w:rsidRPr="00C030D2">
        <w:rPr>
          <w:lang w:val="it-IT"/>
        </w:rPr>
        <w:t xml:space="preserve">tire. </w:t>
      </w:r>
      <w:r w:rsidR="000537AF" w:rsidRPr="00A13062">
        <w:rPr>
          <w:lang w:val="it-IT"/>
        </w:rPr>
        <w:t xml:space="preserve">Per i </w:t>
      </w:r>
      <w:r w:rsidR="00A13062" w:rsidRPr="00A13062">
        <w:rPr>
          <w:lang w:val="it-IT"/>
        </w:rPr>
        <w:t>C</w:t>
      </w:r>
      <w:r w:rsidR="000537AF" w:rsidRPr="00A13062">
        <w:rPr>
          <w:lang w:val="it-IT"/>
        </w:rPr>
        <w:t>omuni aventi</w:t>
      </w:r>
      <w:r w:rsidR="000537AF" w:rsidRPr="00A13062">
        <w:rPr>
          <w:spacing w:val="32"/>
          <w:lang w:val="it-IT"/>
        </w:rPr>
        <w:t xml:space="preserve"> </w:t>
      </w:r>
      <w:r w:rsidR="000537AF" w:rsidRPr="00A13062">
        <w:rPr>
          <w:lang w:val="it-IT"/>
        </w:rPr>
        <w:t>fino</w:t>
      </w:r>
      <w:r w:rsidR="00A13062" w:rsidRPr="00A13062">
        <w:rPr>
          <w:lang w:val="it-IT"/>
        </w:rPr>
        <w:t xml:space="preserve"> </w:t>
      </w:r>
      <w:r w:rsidR="000537AF" w:rsidRPr="00A13062">
        <w:rPr>
          <w:spacing w:val="-129"/>
          <w:u w:val="single"/>
          <w:lang w:val="it-IT"/>
        </w:rPr>
        <w:t>a</w:t>
      </w:r>
      <w:r w:rsidR="000537AF" w:rsidRPr="00A13062">
        <w:rPr>
          <w:spacing w:val="130"/>
          <w:lang w:val="it-IT"/>
        </w:rPr>
        <w:t xml:space="preserve"> </w:t>
      </w:r>
      <w:r w:rsidR="000537AF" w:rsidRPr="00A13062">
        <w:rPr>
          <w:u w:val="single"/>
          <w:lang w:val="it-IT"/>
        </w:rPr>
        <w:t>3 sezioni elettorali, le quote sono maggiorate del 40 per cento.</w:t>
      </w:r>
    </w:p>
    <w:p w14:paraId="76A7BA47" w14:textId="70A0E998" w:rsidR="001D5693" w:rsidRPr="00045F34" w:rsidRDefault="000537AF">
      <w:pPr>
        <w:pStyle w:val="Corpotesto"/>
        <w:spacing w:before="1"/>
        <w:ind w:right="110"/>
        <w:jc w:val="both"/>
        <w:rPr>
          <w:lang w:val="it-IT"/>
        </w:rPr>
      </w:pPr>
      <w:r w:rsidRPr="00045F34">
        <w:rPr>
          <w:lang w:val="it-IT"/>
        </w:rPr>
        <w:t xml:space="preserve">In considerazione del prolungamento delle operazioni di votazione, </w:t>
      </w:r>
      <w:proofErr w:type="spellStart"/>
      <w:r w:rsidRPr="00045F34">
        <w:rPr>
          <w:spacing w:val="-137"/>
          <w:u w:val="single"/>
          <w:lang w:val="it-IT"/>
        </w:rPr>
        <w:t>p</w:t>
      </w:r>
      <w:r w:rsidR="00886052" w:rsidRPr="00045F34">
        <w:rPr>
          <w:u w:val="single"/>
          <w:lang w:val="it-IT"/>
        </w:rPr>
        <w:t>per</w:t>
      </w:r>
      <w:proofErr w:type="spellEnd"/>
      <w:r w:rsidRPr="00045F34">
        <w:rPr>
          <w:u w:val="single"/>
          <w:lang w:val="it-IT"/>
        </w:rPr>
        <w:t xml:space="preserve"> l’anno 2024 </w:t>
      </w:r>
      <w:r w:rsidRPr="00C831C6">
        <w:rPr>
          <w:b/>
          <w:bCs/>
          <w:u w:val="single"/>
          <w:lang w:val="it-IT"/>
        </w:rPr>
        <w:t>viene</w:t>
      </w:r>
      <w:r w:rsidRPr="00C831C6">
        <w:rPr>
          <w:b/>
          <w:bCs/>
          <w:lang w:val="it-IT"/>
        </w:rPr>
        <w:t xml:space="preserve"> </w:t>
      </w:r>
      <w:r w:rsidRPr="00C831C6">
        <w:rPr>
          <w:b/>
          <w:bCs/>
          <w:spacing w:val="-19"/>
          <w:lang w:val="it-IT"/>
        </w:rPr>
        <w:t xml:space="preserve"> </w:t>
      </w:r>
      <w:proofErr w:type="spellStart"/>
      <w:r w:rsidRPr="00C831C6">
        <w:rPr>
          <w:b/>
          <w:bCs/>
          <w:spacing w:val="-137"/>
          <w:u w:val="single"/>
          <w:lang w:val="it-IT"/>
        </w:rPr>
        <w:t>d</w:t>
      </w:r>
      <w:r w:rsidR="00886052" w:rsidRPr="00C831C6">
        <w:rPr>
          <w:b/>
          <w:bCs/>
          <w:u w:val="single"/>
          <w:lang w:val="it-IT"/>
        </w:rPr>
        <w:t>disposto</w:t>
      </w:r>
      <w:proofErr w:type="spellEnd"/>
      <w:r w:rsidRPr="00C831C6">
        <w:rPr>
          <w:b/>
          <w:bCs/>
          <w:spacing w:val="-15"/>
          <w:u w:val="single"/>
          <w:lang w:val="it-IT"/>
        </w:rPr>
        <w:t xml:space="preserve"> </w:t>
      </w:r>
      <w:r w:rsidRPr="00C831C6">
        <w:rPr>
          <w:b/>
          <w:bCs/>
          <w:u w:val="single"/>
          <w:lang w:val="it-IT"/>
        </w:rPr>
        <w:t>un</w:t>
      </w:r>
      <w:r w:rsidRPr="00C831C6">
        <w:rPr>
          <w:b/>
          <w:bCs/>
          <w:spacing w:val="-17"/>
          <w:u w:val="single"/>
          <w:lang w:val="it-IT"/>
        </w:rPr>
        <w:t xml:space="preserve"> </w:t>
      </w:r>
      <w:r w:rsidRPr="00C831C6">
        <w:rPr>
          <w:b/>
          <w:bCs/>
          <w:u w:val="single"/>
          <w:lang w:val="it-IT"/>
        </w:rPr>
        <w:t>incremento</w:t>
      </w:r>
      <w:r w:rsidRPr="00C831C6">
        <w:rPr>
          <w:b/>
          <w:bCs/>
          <w:spacing w:val="-14"/>
          <w:u w:val="single"/>
          <w:lang w:val="it-IT"/>
        </w:rPr>
        <w:t xml:space="preserve"> </w:t>
      </w:r>
      <w:r w:rsidRPr="00C831C6">
        <w:rPr>
          <w:b/>
          <w:bCs/>
          <w:u w:val="single"/>
          <w:lang w:val="it-IT"/>
        </w:rPr>
        <w:t>del</w:t>
      </w:r>
      <w:r w:rsidRPr="00C831C6">
        <w:rPr>
          <w:b/>
          <w:bCs/>
          <w:spacing w:val="-13"/>
          <w:u w:val="single"/>
          <w:lang w:val="it-IT"/>
        </w:rPr>
        <w:t xml:space="preserve"> </w:t>
      </w:r>
      <w:r w:rsidRPr="00C831C6">
        <w:rPr>
          <w:b/>
          <w:bCs/>
          <w:u w:val="single"/>
          <w:lang w:val="it-IT"/>
        </w:rPr>
        <w:t>15</w:t>
      </w:r>
      <w:r w:rsidRPr="00C831C6">
        <w:rPr>
          <w:b/>
          <w:bCs/>
          <w:spacing w:val="-14"/>
          <w:u w:val="single"/>
          <w:lang w:val="it-IT"/>
        </w:rPr>
        <w:t xml:space="preserve"> </w:t>
      </w:r>
      <w:r w:rsidRPr="00C831C6">
        <w:rPr>
          <w:b/>
          <w:bCs/>
          <w:u w:val="single"/>
          <w:lang w:val="it-IT"/>
        </w:rPr>
        <w:t>per</w:t>
      </w:r>
      <w:r w:rsidRPr="00C831C6">
        <w:rPr>
          <w:b/>
          <w:bCs/>
          <w:spacing w:val="-15"/>
          <w:u w:val="single"/>
          <w:lang w:val="it-IT"/>
        </w:rPr>
        <w:t xml:space="preserve"> </w:t>
      </w:r>
      <w:r w:rsidRPr="00C831C6">
        <w:rPr>
          <w:b/>
          <w:bCs/>
          <w:u w:val="single"/>
          <w:lang w:val="it-IT"/>
        </w:rPr>
        <w:t>cento</w:t>
      </w:r>
      <w:r w:rsidRPr="00C831C6">
        <w:rPr>
          <w:b/>
          <w:bCs/>
          <w:spacing w:val="-12"/>
          <w:u w:val="single"/>
          <w:lang w:val="it-IT"/>
        </w:rPr>
        <w:t xml:space="preserve"> </w:t>
      </w:r>
      <w:r w:rsidRPr="00C831C6">
        <w:rPr>
          <w:b/>
          <w:bCs/>
          <w:u w:val="single"/>
          <w:lang w:val="it-IT"/>
        </w:rPr>
        <w:t>degli</w:t>
      </w:r>
      <w:r w:rsidRPr="00C831C6">
        <w:rPr>
          <w:b/>
          <w:bCs/>
          <w:spacing w:val="-15"/>
          <w:u w:val="single"/>
          <w:lang w:val="it-IT"/>
        </w:rPr>
        <w:t xml:space="preserve"> </w:t>
      </w:r>
      <w:r w:rsidRPr="00C831C6">
        <w:rPr>
          <w:b/>
          <w:bCs/>
          <w:u w:val="single"/>
          <w:lang w:val="it-IT"/>
        </w:rPr>
        <w:t>onorari</w:t>
      </w:r>
      <w:r w:rsidRPr="00C831C6">
        <w:rPr>
          <w:b/>
          <w:bCs/>
          <w:spacing w:val="-14"/>
          <w:u w:val="single"/>
          <w:lang w:val="it-IT"/>
        </w:rPr>
        <w:t xml:space="preserve"> </w:t>
      </w:r>
      <w:r w:rsidRPr="00C831C6">
        <w:rPr>
          <w:b/>
          <w:bCs/>
          <w:u w:val="single"/>
          <w:lang w:val="it-IT"/>
        </w:rPr>
        <w:t>fissi</w:t>
      </w:r>
      <w:r w:rsidRPr="00C831C6">
        <w:rPr>
          <w:b/>
          <w:bCs/>
          <w:spacing w:val="-13"/>
          <w:u w:val="single"/>
          <w:lang w:val="it-IT"/>
        </w:rPr>
        <w:t xml:space="preserve"> </w:t>
      </w:r>
      <w:r w:rsidRPr="00C831C6">
        <w:rPr>
          <w:b/>
          <w:bCs/>
          <w:u w:val="single"/>
          <w:lang w:val="it-IT"/>
        </w:rPr>
        <w:t>forfetari</w:t>
      </w:r>
      <w:r w:rsidRPr="00C831C6">
        <w:rPr>
          <w:b/>
          <w:bCs/>
          <w:spacing w:val="-12"/>
          <w:u w:val="single"/>
          <w:lang w:val="it-IT"/>
        </w:rPr>
        <w:t xml:space="preserve"> </w:t>
      </w:r>
      <w:r w:rsidRPr="00C831C6">
        <w:rPr>
          <w:b/>
          <w:bCs/>
          <w:u w:val="single"/>
          <w:lang w:val="it-IT"/>
        </w:rPr>
        <w:t>spettanti</w:t>
      </w:r>
      <w:r w:rsidRPr="00C831C6">
        <w:rPr>
          <w:b/>
          <w:bCs/>
          <w:spacing w:val="-13"/>
          <w:u w:val="single"/>
          <w:lang w:val="it-IT"/>
        </w:rPr>
        <w:t xml:space="preserve"> </w:t>
      </w:r>
      <w:r w:rsidRPr="00C831C6">
        <w:rPr>
          <w:b/>
          <w:bCs/>
          <w:u w:val="single"/>
          <w:lang w:val="it-IT"/>
        </w:rPr>
        <w:t>ai</w:t>
      </w:r>
      <w:r w:rsidRPr="00C831C6">
        <w:rPr>
          <w:b/>
          <w:bCs/>
          <w:spacing w:val="-12"/>
          <w:u w:val="single"/>
          <w:lang w:val="it-IT"/>
        </w:rPr>
        <w:t xml:space="preserve"> </w:t>
      </w:r>
      <w:r w:rsidRPr="00C831C6">
        <w:rPr>
          <w:b/>
          <w:bCs/>
          <w:u w:val="single"/>
          <w:lang w:val="it-IT"/>
        </w:rPr>
        <w:t>component</w:t>
      </w:r>
      <w:r w:rsidRPr="00886052">
        <w:rPr>
          <w:b/>
          <w:bCs/>
          <w:u w:val="single"/>
          <w:lang w:val="it-IT"/>
        </w:rPr>
        <w:t>i</w:t>
      </w:r>
      <w:r w:rsidR="00CA4DB2">
        <w:rPr>
          <w:b/>
          <w:bCs/>
          <w:u w:val="single"/>
          <w:lang w:val="it-IT"/>
        </w:rPr>
        <w:t xml:space="preserve"> </w:t>
      </w:r>
      <w:r w:rsidRPr="00886052">
        <w:rPr>
          <w:b/>
          <w:bCs/>
          <w:spacing w:val="-137"/>
          <w:u w:val="single"/>
          <w:lang w:val="it-IT"/>
        </w:rPr>
        <w:t>d</w:t>
      </w:r>
      <w:r w:rsidR="00CA4DB2">
        <w:rPr>
          <w:b/>
          <w:bCs/>
          <w:spacing w:val="-137"/>
          <w:u w:val="single"/>
          <w:lang w:val="it-IT"/>
        </w:rPr>
        <w:t xml:space="preserve">  </w:t>
      </w:r>
      <w:r w:rsidRPr="00886052">
        <w:rPr>
          <w:b/>
          <w:bCs/>
          <w:spacing w:val="67"/>
          <w:u w:val="single"/>
          <w:lang w:val="it-IT"/>
        </w:rPr>
        <w:t xml:space="preserve"> </w:t>
      </w:r>
      <w:r w:rsidRPr="00886052">
        <w:rPr>
          <w:b/>
          <w:bCs/>
          <w:u w:val="single"/>
          <w:lang w:val="it-IT"/>
        </w:rPr>
        <w:t>egli</w:t>
      </w:r>
      <w:r w:rsidRPr="00886052">
        <w:rPr>
          <w:b/>
          <w:bCs/>
          <w:spacing w:val="-6"/>
          <w:u w:val="single"/>
          <w:lang w:val="it-IT"/>
        </w:rPr>
        <w:t xml:space="preserve"> </w:t>
      </w:r>
      <w:r w:rsidRPr="00886052">
        <w:rPr>
          <w:b/>
          <w:bCs/>
          <w:u w:val="single"/>
          <w:lang w:val="it-IT"/>
        </w:rPr>
        <w:t>u</w:t>
      </w:r>
      <w:r w:rsidRPr="00C831C6">
        <w:rPr>
          <w:b/>
          <w:bCs/>
          <w:u w:val="single"/>
          <w:lang w:val="it-IT"/>
        </w:rPr>
        <w:t>ffici</w:t>
      </w:r>
      <w:r w:rsidRPr="00C831C6">
        <w:rPr>
          <w:b/>
          <w:bCs/>
          <w:spacing w:val="-6"/>
          <w:u w:val="single"/>
          <w:lang w:val="it-IT"/>
        </w:rPr>
        <w:t xml:space="preserve"> </w:t>
      </w:r>
      <w:r w:rsidRPr="00C831C6">
        <w:rPr>
          <w:b/>
          <w:bCs/>
          <w:u w:val="single"/>
          <w:lang w:val="it-IT"/>
        </w:rPr>
        <w:t>elettorali</w:t>
      </w:r>
      <w:r w:rsidRPr="00C831C6">
        <w:rPr>
          <w:b/>
          <w:bCs/>
          <w:spacing w:val="-3"/>
          <w:u w:val="single"/>
          <w:lang w:val="it-IT"/>
        </w:rPr>
        <w:t xml:space="preserve"> </w:t>
      </w:r>
      <w:r w:rsidRPr="00C831C6">
        <w:rPr>
          <w:b/>
          <w:bCs/>
          <w:u w:val="single"/>
          <w:lang w:val="it-IT"/>
        </w:rPr>
        <w:t>di</w:t>
      </w:r>
      <w:r w:rsidRPr="00C831C6">
        <w:rPr>
          <w:b/>
          <w:bCs/>
          <w:spacing w:val="-6"/>
          <w:u w:val="single"/>
          <w:lang w:val="it-IT"/>
        </w:rPr>
        <w:t xml:space="preserve"> </w:t>
      </w:r>
      <w:r w:rsidRPr="00C831C6">
        <w:rPr>
          <w:b/>
          <w:bCs/>
          <w:u w:val="single"/>
          <w:lang w:val="it-IT"/>
        </w:rPr>
        <w:t>sezione</w:t>
      </w:r>
      <w:r w:rsidRPr="00C831C6">
        <w:rPr>
          <w:b/>
          <w:bCs/>
          <w:spacing w:val="-3"/>
          <w:u w:val="single"/>
          <w:lang w:val="it-IT"/>
        </w:rPr>
        <w:t xml:space="preserve"> </w:t>
      </w:r>
      <w:r w:rsidRPr="00C831C6">
        <w:rPr>
          <w:b/>
          <w:bCs/>
          <w:u w:val="single"/>
          <w:lang w:val="it-IT"/>
        </w:rPr>
        <w:t>e</w:t>
      </w:r>
      <w:r w:rsidRPr="00C831C6">
        <w:rPr>
          <w:b/>
          <w:bCs/>
          <w:spacing w:val="-6"/>
          <w:u w:val="single"/>
          <w:lang w:val="it-IT"/>
        </w:rPr>
        <w:t xml:space="preserve"> </w:t>
      </w:r>
      <w:r w:rsidRPr="00C831C6">
        <w:rPr>
          <w:b/>
          <w:bCs/>
          <w:u w:val="single"/>
          <w:lang w:val="it-IT"/>
        </w:rPr>
        <w:t>dei</w:t>
      </w:r>
      <w:r w:rsidRPr="00C831C6">
        <w:rPr>
          <w:b/>
          <w:bCs/>
          <w:spacing w:val="-3"/>
          <w:u w:val="single"/>
          <w:lang w:val="it-IT"/>
        </w:rPr>
        <w:t xml:space="preserve"> </w:t>
      </w:r>
      <w:r w:rsidRPr="00C831C6">
        <w:rPr>
          <w:b/>
          <w:bCs/>
          <w:u w:val="single"/>
          <w:lang w:val="it-IT"/>
        </w:rPr>
        <w:t>seggi</w:t>
      </w:r>
      <w:r w:rsidRPr="00C831C6">
        <w:rPr>
          <w:b/>
          <w:bCs/>
          <w:spacing w:val="-3"/>
          <w:u w:val="single"/>
          <w:lang w:val="it-IT"/>
        </w:rPr>
        <w:t xml:space="preserve"> </w:t>
      </w:r>
      <w:r w:rsidRPr="00C831C6">
        <w:rPr>
          <w:b/>
          <w:bCs/>
          <w:u w:val="single"/>
          <w:lang w:val="it-IT"/>
        </w:rPr>
        <w:t>speciali</w:t>
      </w:r>
      <w:r w:rsidRPr="00045F34">
        <w:rPr>
          <w:spacing w:val="-3"/>
          <w:lang w:val="it-IT"/>
        </w:rPr>
        <w:t xml:space="preserve"> </w:t>
      </w:r>
      <w:r w:rsidRPr="00045F34">
        <w:rPr>
          <w:lang w:val="it-IT"/>
        </w:rPr>
        <w:t>di</w:t>
      </w:r>
      <w:r w:rsidRPr="00045F34">
        <w:rPr>
          <w:spacing w:val="-6"/>
          <w:lang w:val="it-IT"/>
        </w:rPr>
        <w:t xml:space="preserve"> </w:t>
      </w:r>
      <w:r w:rsidRPr="00045F34">
        <w:rPr>
          <w:lang w:val="it-IT"/>
        </w:rPr>
        <w:t>cui</w:t>
      </w:r>
      <w:r w:rsidRPr="00045F34">
        <w:rPr>
          <w:spacing w:val="-3"/>
          <w:lang w:val="it-IT"/>
        </w:rPr>
        <w:t xml:space="preserve"> </w:t>
      </w:r>
      <w:r w:rsidRPr="00045F34">
        <w:rPr>
          <w:lang w:val="it-IT"/>
        </w:rPr>
        <w:t>all’articolo</w:t>
      </w:r>
      <w:r w:rsidRPr="00045F34">
        <w:rPr>
          <w:spacing w:val="-6"/>
          <w:lang w:val="it-IT"/>
        </w:rPr>
        <w:t xml:space="preserve"> </w:t>
      </w:r>
      <w:r w:rsidRPr="00045F34">
        <w:rPr>
          <w:lang w:val="it-IT"/>
        </w:rPr>
        <w:t>9</w:t>
      </w:r>
      <w:r w:rsidRPr="00045F34">
        <w:rPr>
          <w:spacing w:val="-3"/>
          <w:lang w:val="it-IT"/>
        </w:rPr>
        <w:t xml:space="preserve"> </w:t>
      </w:r>
      <w:r w:rsidRPr="00045F34">
        <w:rPr>
          <w:lang w:val="it-IT"/>
        </w:rPr>
        <w:t>della</w:t>
      </w:r>
      <w:r w:rsidRPr="00045F34">
        <w:rPr>
          <w:spacing w:val="-6"/>
          <w:lang w:val="it-IT"/>
        </w:rPr>
        <w:t xml:space="preserve"> </w:t>
      </w:r>
      <w:r w:rsidRPr="00045F34">
        <w:rPr>
          <w:lang w:val="it-IT"/>
        </w:rPr>
        <w:t>legge</w:t>
      </w:r>
      <w:r w:rsidRPr="00045F34">
        <w:rPr>
          <w:spacing w:val="-6"/>
          <w:lang w:val="it-IT"/>
        </w:rPr>
        <w:t xml:space="preserve"> </w:t>
      </w:r>
      <w:r w:rsidRPr="00045F34">
        <w:rPr>
          <w:lang w:val="it-IT"/>
        </w:rPr>
        <w:t>n.</w:t>
      </w:r>
      <w:r w:rsidRPr="00045F34">
        <w:rPr>
          <w:spacing w:val="-6"/>
          <w:lang w:val="it-IT"/>
        </w:rPr>
        <w:t xml:space="preserve"> </w:t>
      </w:r>
      <w:r w:rsidRPr="00045F34">
        <w:rPr>
          <w:lang w:val="it-IT"/>
        </w:rPr>
        <w:t>136</w:t>
      </w:r>
      <w:r w:rsidRPr="00045F34">
        <w:rPr>
          <w:spacing w:val="-3"/>
          <w:lang w:val="it-IT"/>
        </w:rPr>
        <w:t xml:space="preserve"> </w:t>
      </w:r>
      <w:r w:rsidRPr="00045F34">
        <w:rPr>
          <w:lang w:val="it-IT"/>
        </w:rPr>
        <w:t>del 1976.</w:t>
      </w:r>
    </w:p>
    <w:p w14:paraId="377D1AB7" w14:textId="77777777" w:rsidR="00BA641F" w:rsidRPr="00BA641F" w:rsidRDefault="00BA641F" w:rsidP="00BA641F">
      <w:pPr>
        <w:pStyle w:val="Corpotesto"/>
        <w:spacing w:before="1"/>
        <w:ind w:left="720"/>
        <w:rPr>
          <w:b/>
          <w:color w:val="4B93D8"/>
          <w:lang w:val="it-IT"/>
        </w:rPr>
      </w:pPr>
    </w:p>
    <w:p w14:paraId="5576A79C" w14:textId="77777777" w:rsidR="00C8704B" w:rsidRPr="00BA641F" w:rsidRDefault="00C8704B" w:rsidP="00BA641F">
      <w:pPr>
        <w:pStyle w:val="Corpotesto"/>
        <w:numPr>
          <w:ilvl w:val="0"/>
          <w:numId w:val="4"/>
        </w:numPr>
        <w:spacing w:before="1"/>
        <w:rPr>
          <w:b/>
          <w:color w:val="4B93D8"/>
          <w:lang w:val="it-IT"/>
        </w:rPr>
      </w:pPr>
      <w:r w:rsidRPr="00C831C6">
        <w:rPr>
          <w:b/>
          <w:color w:val="4B93D8"/>
          <w:lang w:val="it-IT"/>
        </w:rPr>
        <w:t>Differimento delle elezioni provinciali 2024</w:t>
      </w:r>
      <w:r w:rsidR="00C831C6" w:rsidRPr="00C831C6">
        <w:rPr>
          <w:b/>
          <w:color w:val="4B93D8"/>
          <w:lang w:val="it-IT"/>
        </w:rPr>
        <w:t xml:space="preserve"> (Art. 1, comma 4-</w:t>
      </w:r>
      <w:r w:rsidR="00C831C6" w:rsidRPr="00700D7C">
        <w:rPr>
          <w:b/>
          <w:i/>
          <w:iCs/>
          <w:color w:val="4B93D8"/>
          <w:lang w:val="it-IT"/>
        </w:rPr>
        <w:t>bis</w:t>
      </w:r>
      <w:r w:rsidR="00C831C6" w:rsidRPr="00C831C6">
        <w:rPr>
          <w:b/>
          <w:color w:val="4B93D8"/>
          <w:lang w:val="it-IT"/>
        </w:rPr>
        <w:t>)</w:t>
      </w:r>
    </w:p>
    <w:p w14:paraId="4408F04D" w14:textId="77777777" w:rsidR="0047522D" w:rsidRPr="00C8704B" w:rsidRDefault="00C8704B" w:rsidP="00C831C6">
      <w:pPr>
        <w:pStyle w:val="Corpotesto"/>
        <w:ind w:left="0"/>
        <w:jc w:val="both"/>
        <w:rPr>
          <w:sz w:val="26"/>
          <w:lang w:val="it-IT"/>
        </w:rPr>
      </w:pPr>
      <w:r w:rsidRPr="00C8704B">
        <w:rPr>
          <w:lang w:val="it-IT"/>
        </w:rPr>
        <w:t>L</w:t>
      </w:r>
      <w:r w:rsidR="00C831C6">
        <w:rPr>
          <w:lang w:val="it-IT"/>
        </w:rPr>
        <w:t>a norma</w:t>
      </w:r>
      <w:r w:rsidR="00101D3C">
        <w:rPr>
          <w:lang w:val="it-IT"/>
        </w:rPr>
        <w:t xml:space="preserve"> in commento</w:t>
      </w:r>
      <w:r w:rsidR="00BA641F">
        <w:rPr>
          <w:lang w:val="it-IT"/>
        </w:rPr>
        <w:t>,</w:t>
      </w:r>
      <w:r w:rsidR="00C831C6">
        <w:rPr>
          <w:lang w:val="it-IT"/>
        </w:rPr>
        <w:t xml:space="preserve"> introdotta durante l’esame in</w:t>
      </w:r>
      <w:r w:rsidRPr="00C8704B">
        <w:rPr>
          <w:lang w:val="it-IT"/>
        </w:rPr>
        <w:t xml:space="preserve"> Senato, rinvia al 29 settembre 2024 le elezioni dei presidenti di provincia e dei consigli provinciali in scadenza nel 2024. La disposizione si applica esclusivamente alle province in cui il numero dei consigli comunali interessati al turno annuale elettorale sia tale da far superare la soglia del 50 per cento degli aventi diritto al voto dell’intera provincia. Conseguentemente, la durata del mandato degli organi provinciali è prorogata fino al loro rinnovo.</w:t>
      </w:r>
    </w:p>
    <w:p w14:paraId="25F791A4" w14:textId="77777777" w:rsidR="001D5693" w:rsidRDefault="001D5693">
      <w:pPr>
        <w:pStyle w:val="Corpotesto"/>
        <w:spacing w:before="1"/>
        <w:ind w:left="0"/>
        <w:rPr>
          <w:sz w:val="28"/>
          <w:lang w:val="it-IT"/>
        </w:rPr>
      </w:pPr>
    </w:p>
    <w:p w14:paraId="259B07FD" w14:textId="682E5E08" w:rsidR="00BA641F" w:rsidRPr="00BA641F" w:rsidRDefault="00BA641F" w:rsidP="00700D7C">
      <w:pPr>
        <w:pStyle w:val="Corpotesto"/>
        <w:numPr>
          <w:ilvl w:val="0"/>
          <w:numId w:val="4"/>
        </w:numPr>
        <w:spacing w:before="1"/>
        <w:ind w:left="1080"/>
        <w:jc w:val="both"/>
        <w:rPr>
          <w:b/>
          <w:color w:val="4B93D8"/>
          <w:lang w:val="it-IT"/>
        </w:rPr>
      </w:pPr>
      <w:r w:rsidRPr="00BA641F">
        <w:rPr>
          <w:b/>
          <w:color w:val="4B93D8"/>
          <w:lang w:val="it-IT"/>
        </w:rPr>
        <w:t>Disposizione in materia di Commissioni e Sottocommissioni elettorali circondariali</w:t>
      </w:r>
      <w:r>
        <w:rPr>
          <w:b/>
          <w:color w:val="4B93D8"/>
          <w:lang w:val="it-IT"/>
        </w:rPr>
        <w:t xml:space="preserve"> (Art. </w:t>
      </w:r>
      <w:r w:rsidR="00CA4DB2">
        <w:rPr>
          <w:b/>
          <w:color w:val="4B93D8"/>
          <w:lang w:val="it-IT"/>
        </w:rPr>
        <w:t>1-</w:t>
      </w:r>
      <w:r w:rsidRPr="00700D7C">
        <w:rPr>
          <w:b/>
          <w:i/>
          <w:iCs/>
          <w:color w:val="4B93D8"/>
          <w:lang w:val="it-IT"/>
        </w:rPr>
        <w:t>bis</w:t>
      </w:r>
      <w:r>
        <w:rPr>
          <w:b/>
          <w:color w:val="4B93D8"/>
          <w:lang w:val="it-IT"/>
        </w:rPr>
        <w:t>)</w:t>
      </w:r>
      <w:r w:rsidRPr="00BA641F">
        <w:rPr>
          <w:b/>
          <w:color w:val="4B93D8"/>
          <w:lang w:val="it-IT"/>
        </w:rPr>
        <w:t xml:space="preserve"> </w:t>
      </w:r>
    </w:p>
    <w:p w14:paraId="478E2C5B" w14:textId="2CA9CDE5" w:rsidR="00D925D1" w:rsidRDefault="00C2410A" w:rsidP="00D925D1">
      <w:pPr>
        <w:pStyle w:val="Corpotesto"/>
        <w:spacing w:before="1"/>
        <w:ind w:left="0"/>
        <w:jc w:val="both"/>
        <w:rPr>
          <w:lang w:val="it-IT"/>
        </w:rPr>
      </w:pPr>
      <w:r>
        <w:rPr>
          <w:lang w:val="it-IT"/>
        </w:rPr>
        <w:t>La norma</w:t>
      </w:r>
      <w:r w:rsidR="00764763">
        <w:rPr>
          <w:lang w:val="it-IT"/>
        </w:rPr>
        <w:t xml:space="preserve"> in commento</w:t>
      </w:r>
      <w:r w:rsidR="00D925D1">
        <w:rPr>
          <w:lang w:val="it-IT"/>
        </w:rPr>
        <w:t>,</w:t>
      </w:r>
      <w:r w:rsidR="00E910E4">
        <w:rPr>
          <w:lang w:val="it-IT"/>
        </w:rPr>
        <w:t xml:space="preserve"> </w:t>
      </w:r>
      <w:bookmarkStart w:id="0" w:name="_Hlk161828570"/>
      <w:r w:rsidR="00D925D1">
        <w:rPr>
          <w:lang w:val="it-IT"/>
        </w:rPr>
        <w:t>introdotta durante l’esame in</w:t>
      </w:r>
      <w:r w:rsidR="00D925D1" w:rsidRPr="00C8704B">
        <w:rPr>
          <w:lang w:val="it-IT"/>
        </w:rPr>
        <w:t xml:space="preserve"> Senato</w:t>
      </w:r>
      <w:bookmarkEnd w:id="0"/>
      <w:r w:rsidR="00D925D1" w:rsidRPr="00C8704B">
        <w:rPr>
          <w:lang w:val="it-IT"/>
        </w:rPr>
        <w:t xml:space="preserve">, </w:t>
      </w:r>
      <w:r w:rsidR="00F4504C">
        <w:rPr>
          <w:lang w:val="it-IT"/>
        </w:rPr>
        <w:t>apporta una modifica all’art. 1, comma 1</w:t>
      </w:r>
      <w:r w:rsidR="00CA4DB2">
        <w:rPr>
          <w:lang w:val="it-IT"/>
        </w:rPr>
        <w:t>,</w:t>
      </w:r>
      <w:r w:rsidR="00F4504C">
        <w:rPr>
          <w:lang w:val="it-IT"/>
        </w:rPr>
        <w:t xml:space="preserve"> del</w:t>
      </w:r>
      <w:r w:rsidR="00BA641F" w:rsidRPr="00BA641F">
        <w:rPr>
          <w:lang w:val="it-IT"/>
        </w:rPr>
        <w:t xml:space="preserve"> decreto-legge n. 37 del 2011</w:t>
      </w:r>
      <w:r w:rsidR="00F4504C">
        <w:rPr>
          <w:lang w:val="it-IT"/>
        </w:rPr>
        <w:t xml:space="preserve"> inerente </w:t>
      </w:r>
      <w:r w:rsidR="00BA641F" w:rsidRPr="00BA641F">
        <w:rPr>
          <w:lang w:val="it-IT"/>
        </w:rPr>
        <w:t>la</w:t>
      </w:r>
      <w:r w:rsidR="00F4504C">
        <w:rPr>
          <w:lang w:val="it-IT"/>
        </w:rPr>
        <w:t xml:space="preserve"> </w:t>
      </w:r>
      <w:r w:rsidR="00BA641F" w:rsidRPr="00BA641F">
        <w:rPr>
          <w:lang w:val="it-IT"/>
        </w:rPr>
        <w:t>composizione delle Commissioni e Sottocommissioni elettorali circondariali</w:t>
      </w:r>
      <w:r w:rsidR="00D925D1">
        <w:rPr>
          <w:lang w:val="it-IT"/>
        </w:rPr>
        <w:t xml:space="preserve"> e </w:t>
      </w:r>
      <w:r w:rsidR="00D925D1" w:rsidRPr="00BA641F">
        <w:rPr>
          <w:lang w:val="it-IT"/>
        </w:rPr>
        <w:t xml:space="preserve">specifica che i funzionari statali, da nominare componenti aggiunti delle Commissioni e Sottocommissioni elettorali circondariali, </w:t>
      </w:r>
      <w:r w:rsidR="00D925D1" w:rsidRPr="006550F1">
        <w:rPr>
          <w:u w:val="single"/>
          <w:lang w:val="it-IT"/>
        </w:rPr>
        <w:t>possano essere sia in servizio sia a riposo</w:t>
      </w:r>
      <w:r w:rsidR="00D925D1" w:rsidRPr="00BA641F">
        <w:rPr>
          <w:lang w:val="it-IT"/>
        </w:rPr>
        <w:t xml:space="preserve">. </w:t>
      </w:r>
    </w:p>
    <w:p w14:paraId="344888C9" w14:textId="77777777" w:rsidR="00D925D1" w:rsidRDefault="00D925D1" w:rsidP="00C2410A">
      <w:pPr>
        <w:pStyle w:val="Corpotesto"/>
        <w:spacing w:before="1"/>
        <w:ind w:left="0"/>
        <w:jc w:val="both"/>
        <w:rPr>
          <w:lang w:val="it-IT"/>
        </w:rPr>
      </w:pPr>
    </w:p>
    <w:p w14:paraId="5DB445CF" w14:textId="77777777" w:rsidR="00A4446E" w:rsidRDefault="00A4446E">
      <w:pPr>
        <w:pStyle w:val="Corpotesto"/>
        <w:spacing w:before="1"/>
        <w:ind w:left="0"/>
        <w:rPr>
          <w:lang w:val="it-IT"/>
        </w:rPr>
      </w:pPr>
    </w:p>
    <w:p w14:paraId="67E6F847" w14:textId="55DA55D0" w:rsidR="002F0F42" w:rsidRPr="00A4446E" w:rsidRDefault="002F0F42" w:rsidP="002F0F42">
      <w:pPr>
        <w:pStyle w:val="Corpotesto"/>
        <w:numPr>
          <w:ilvl w:val="0"/>
          <w:numId w:val="4"/>
        </w:numPr>
        <w:spacing w:before="1"/>
        <w:jc w:val="both"/>
        <w:rPr>
          <w:b/>
          <w:color w:val="4B93D8"/>
          <w:lang w:val="it-IT"/>
        </w:rPr>
      </w:pPr>
      <w:r w:rsidRPr="00A4446E">
        <w:rPr>
          <w:b/>
          <w:color w:val="4B93D8"/>
          <w:lang w:val="it-IT"/>
        </w:rPr>
        <w:t xml:space="preserve">Voto degli studenti </w:t>
      </w:r>
      <w:r>
        <w:rPr>
          <w:b/>
          <w:color w:val="4B93D8"/>
          <w:lang w:val="it-IT"/>
        </w:rPr>
        <w:t>‘</w:t>
      </w:r>
      <w:r w:rsidRPr="00A4446E">
        <w:rPr>
          <w:b/>
          <w:color w:val="4B93D8"/>
          <w:lang w:val="it-IT"/>
        </w:rPr>
        <w:t>fuori sede</w:t>
      </w:r>
      <w:r>
        <w:rPr>
          <w:b/>
          <w:color w:val="4B93D8"/>
          <w:lang w:val="it-IT"/>
        </w:rPr>
        <w:t>’</w:t>
      </w:r>
      <w:r w:rsidRPr="00A4446E">
        <w:rPr>
          <w:b/>
          <w:color w:val="4B93D8"/>
          <w:lang w:val="it-IT"/>
        </w:rPr>
        <w:t xml:space="preserve"> nelle elezioni europee 2024 (Art. </w:t>
      </w:r>
      <w:r w:rsidR="00CA4DB2" w:rsidRPr="00A4446E">
        <w:rPr>
          <w:b/>
          <w:color w:val="4B93D8"/>
          <w:lang w:val="it-IT"/>
        </w:rPr>
        <w:t>1</w:t>
      </w:r>
      <w:r w:rsidR="00CA4DB2">
        <w:rPr>
          <w:b/>
          <w:color w:val="4B93D8"/>
          <w:lang w:val="it-IT"/>
        </w:rPr>
        <w:t>-</w:t>
      </w:r>
      <w:r w:rsidRPr="00700D7C">
        <w:rPr>
          <w:b/>
          <w:i/>
          <w:iCs/>
          <w:color w:val="4B93D8"/>
          <w:lang w:val="it-IT"/>
        </w:rPr>
        <w:t>ter</w:t>
      </w:r>
      <w:r w:rsidRPr="00A4446E">
        <w:rPr>
          <w:b/>
          <w:color w:val="4B93D8"/>
          <w:lang w:val="it-IT"/>
        </w:rPr>
        <w:t>)</w:t>
      </w:r>
    </w:p>
    <w:p w14:paraId="22CFB315" w14:textId="77777777" w:rsidR="002F0F42" w:rsidRDefault="002F0F42" w:rsidP="002F0F42">
      <w:pPr>
        <w:pStyle w:val="Corpotesto"/>
        <w:spacing w:before="1"/>
        <w:jc w:val="both"/>
        <w:rPr>
          <w:lang w:val="it-IT"/>
        </w:rPr>
      </w:pPr>
      <w:r w:rsidRPr="00B51413">
        <w:rPr>
          <w:lang w:val="it-IT"/>
        </w:rPr>
        <w:t>La norma</w:t>
      </w:r>
      <w:r w:rsidR="00764763">
        <w:rPr>
          <w:lang w:val="it-IT"/>
        </w:rPr>
        <w:t xml:space="preserve"> in commento</w:t>
      </w:r>
      <w:r w:rsidRPr="00B51413">
        <w:rPr>
          <w:lang w:val="it-IT"/>
        </w:rPr>
        <w:t>, inserita durante l</w:t>
      </w:r>
      <w:r>
        <w:rPr>
          <w:lang w:val="it-IT"/>
        </w:rPr>
        <w:t>’</w:t>
      </w:r>
      <w:r w:rsidRPr="00B51413">
        <w:rPr>
          <w:lang w:val="it-IT"/>
        </w:rPr>
        <w:t xml:space="preserve">esame in Senato, introduce in via sperimentale </w:t>
      </w:r>
      <w:r>
        <w:rPr>
          <w:lang w:val="it-IT"/>
        </w:rPr>
        <w:t>l</w:t>
      </w:r>
      <w:r w:rsidRPr="00B51413">
        <w:rPr>
          <w:lang w:val="it-IT"/>
        </w:rPr>
        <w:t>a disciplina dell</w:t>
      </w:r>
      <w:r>
        <w:rPr>
          <w:lang w:val="it-IT"/>
        </w:rPr>
        <w:t>’</w:t>
      </w:r>
      <w:r w:rsidRPr="00B51413">
        <w:rPr>
          <w:lang w:val="it-IT"/>
        </w:rPr>
        <w:t>esercizio del voto</w:t>
      </w:r>
      <w:r>
        <w:rPr>
          <w:lang w:val="it-IT"/>
        </w:rPr>
        <w:t>, per le</w:t>
      </w:r>
      <w:r w:rsidRPr="00B51413">
        <w:rPr>
          <w:lang w:val="it-IT"/>
        </w:rPr>
        <w:t xml:space="preserve"> </w:t>
      </w:r>
      <w:r>
        <w:rPr>
          <w:lang w:val="it-IT"/>
        </w:rPr>
        <w:t xml:space="preserve">sole </w:t>
      </w:r>
      <w:r w:rsidRPr="00B51413">
        <w:rPr>
          <w:lang w:val="it-IT"/>
        </w:rPr>
        <w:t>elezioni europee del 2024</w:t>
      </w:r>
      <w:r>
        <w:rPr>
          <w:lang w:val="it-IT"/>
        </w:rPr>
        <w:t xml:space="preserve">, </w:t>
      </w:r>
      <w:r w:rsidRPr="00B51413">
        <w:rPr>
          <w:lang w:val="it-IT"/>
        </w:rPr>
        <w:t>da parte degli studenti domiciliati, temporane</w:t>
      </w:r>
      <w:r>
        <w:rPr>
          <w:lang w:val="it-IT"/>
        </w:rPr>
        <w:t>amente,</w:t>
      </w:r>
      <w:r w:rsidRPr="00B51413">
        <w:rPr>
          <w:lang w:val="it-IT"/>
        </w:rPr>
        <w:t xml:space="preserve"> in un Comune situato in una Regione diversa da quella in cui si trova il</w:t>
      </w:r>
      <w:r>
        <w:rPr>
          <w:lang w:val="it-IT"/>
        </w:rPr>
        <w:t xml:space="preserve"> </w:t>
      </w:r>
      <w:r w:rsidRPr="00B51413">
        <w:rPr>
          <w:lang w:val="it-IT"/>
        </w:rPr>
        <w:t xml:space="preserve">Comune </w:t>
      </w:r>
      <w:r>
        <w:rPr>
          <w:lang w:val="it-IT"/>
        </w:rPr>
        <w:t>di residenza</w:t>
      </w:r>
      <w:r w:rsidRPr="00B51413">
        <w:rPr>
          <w:lang w:val="it-IT"/>
        </w:rPr>
        <w:t>.</w:t>
      </w:r>
      <w:r>
        <w:rPr>
          <w:lang w:val="it-IT"/>
        </w:rPr>
        <w:t xml:space="preserve"> I</w:t>
      </w:r>
      <w:r w:rsidRPr="00B51413">
        <w:rPr>
          <w:lang w:val="it-IT"/>
        </w:rPr>
        <w:t>n</w:t>
      </w:r>
      <w:r>
        <w:rPr>
          <w:lang w:val="it-IT"/>
        </w:rPr>
        <w:t xml:space="preserve"> particolare, vengono distinte due casistiche:</w:t>
      </w:r>
    </w:p>
    <w:p w14:paraId="1515E6B4" w14:textId="77777777" w:rsidR="002F0F42" w:rsidRDefault="002F0F42" w:rsidP="002F0F42">
      <w:pPr>
        <w:pStyle w:val="Corpotesto"/>
        <w:numPr>
          <w:ilvl w:val="0"/>
          <w:numId w:val="7"/>
        </w:numPr>
        <w:spacing w:before="1"/>
        <w:jc w:val="both"/>
        <w:rPr>
          <w:lang w:val="it-IT"/>
        </w:rPr>
      </w:pPr>
      <w:r w:rsidRPr="00AB473D">
        <w:rPr>
          <w:lang w:val="it-IT"/>
        </w:rPr>
        <w:t>la prima attiene all</w:t>
      </w:r>
      <w:r>
        <w:rPr>
          <w:lang w:val="it-IT"/>
        </w:rPr>
        <w:t>’</w:t>
      </w:r>
      <w:r w:rsidRPr="00AB473D">
        <w:rPr>
          <w:lang w:val="it-IT"/>
        </w:rPr>
        <w:t xml:space="preserve">ipotesi in cui il domicilio temporaneo sia entro la medesima </w:t>
      </w:r>
      <w:r w:rsidRPr="00AB473D">
        <w:rPr>
          <w:lang w:val="it-IT"/>
        </w:rPr>
        <w:lastRenderedPageBreak/>
        <w:t>circoscrizione elettorale</w:t>
      </w:r>
      <w:r>
        <w:rPr>
          <w:lang w:val="it-IT"/>
        </w:rPr>
        <w:t xml:space="preserve">. In tal caso, l’elettore fuori sede vota nel Comune in cui ha il </w:t>
      </w:r>
      <w:r w:rsidRPr="00AB473D">
        <w:rPr>
          <w:lang w:val="it-IT"/>
        </w:rPr>
        <w:t>domicilio temporaneo</w:t>
      </w:r>
      <w:r>
        <w:rPr>
          <w:lang w:val="it-IT"/>
        </w:rPr>
        <w:t>;</w:t>
      </w:r>
    </w:p>
    <w:p w14:paraId="0440321B" w14:textId="77777777" w:rsidR="002F0F42" w:rsidRDefault="002F0F42" w:rsidP="002F0F42">
      <w:pPr>
        <w:pStyle w:val="Corpotesto"/>
        <w:numPr>
          <w:ilvl w:val="0"/>
          <w:numId w:val="7"/>
        </w:numPr>
        <w:spacing w:before="1"/>
        <w:jc w:val="both"/>
        <w:rPr>
          <w:lang w:val="it-IT"/>
        </w:rPr>
      </w:pPr>
      <w:r w:rsidRPr="00AB473D">
        <w:rPr>
          <w:lang w:val="it-IT"/>
        </w:rPr>
        <w:t xml:space="preserve">la seconda riguarda </w:t>
      </w:r>
      <w:r>
        <w:rPr>
          <w:lang w:val="it-IT"/>
        </w:rPr>
        <w:t>la circostanza</w:t>
      </w:r>
      <w:r w:rsidRPr="00AB473D">
        <w:rPr>
          <w:lang w:val="it-IT"/>
        </w:rPr>
        <w:t xml:space="preserve"> in cui il domicilio temporaneo ricada in un</w:t>
      </w:r>
      <w:r>
        <w:rPr>
          <w:lang w:val="it-IT"/>
        </w:rPr>
        <w:t>’</w:t>
      </w:r>
      <w:r w:rsidRPr="00AB473D">
        <w:rPr>
          <w:lang w:val="it-IT"/>
        </w:rPr>
        <w:t xml:space="preserve">altra circoscrizione elettorale. In </w:t>
      </w:r>
      <w:r>
        <w:rPr>
          <w:lang w:val="it-IT"/>
        </w:rPr>
        <w:t>tal caso</w:t>
      </w:r>
      <w:r w:rsidRPr="00AB473D">
        <w:rPr>
          <w:lang w:val="it-IT"/>
        </w:rPr>
        <w:t>, l</w:t>
      </w:r>
      <w:r>
        <w:rPr>
          <w:lang w:val="it-IT"/>
        </w:rPr>
        <w:t>’</w:t>
      </w:r>
      <w:r w:rsidRPr="00AB473D">
        <w:rPr>
          <w:lang w:val="it-IT"/>
        </w:rPr>
        <w:t xml:space="preserve">elettore fuori sede vota nel </w:t>
      </w:r>
      <w:r>
        <w:rPr>
          <w:lang w:val="it-IT"/>
        </w:rPr>
        <w:t>C</w:t>
      </w:r>
      <w:r w:rsidRPr="00AB473D">
        <w:rPr>
          <w:lang w:val="it-IT"/>
        </w:rPr>
        <w:t xml:space="preserve">omune capoluogo della </w:t>
      </w:r>
      <w:r>
        <w:rPr>
          <w:lang w:val="it-IT"/>
        </w:rPr>
        <w:t>R</w:t>
      </w:r>
      <w:r w:rsidRPr="00AB473D">
        <w:rPr>
          <w:lang w:val="it-IT"/>
        </w:rPr>
        <w:t xml:space="preserve">egione in cui si trovi il </w:t>
      </w:r>
      <w:r>
        <w:rPr>
          <w:lang w:val="it-IT"/>
        </w:rPr>
        <w:t>C</w:t>
      </w:r>
      <w:r w:rsidRPr="00AB473D">
        <w:rPr>
          <w:lang w:val="it-IT"/>
        </w:rPr>
        <w:t>omune di domicilio temporaneo</w:t>
      </w:r>
      <w:r>
        <w:rPr>
          <w:lang w:val="it-IT"/>
        </w:rPr>
        <w:t>,</w:t>
      </w:r>
      <w:r w:rsidRPr="00AB473D">
        <w:rPr>
          <w:lang w:val="it-IT"/>
        </w:rPr>
        <w:t xml:space="preserve"> recandosi presso sezioni elettorali speciali,</w:t>
      </w:r>
      <w:r>
        <w:rPr>
          <w:lang w:val="it-IT"/>
        </w:rPr>
        <w:t xml:space="preserve"> specificamente istituite e la cui composizione e funzionamento sono disciplinate dal medesimo articolo 1-</w:t>
      </w:r>
      <w:r w:rsidRPr="00700D7C">
        <w:rPr>
          <w:i/>
          <w:iCs/>
          <w:lang w:val="it-IT"/>
        </w:rPr>
        <w:t>ter</w:t>
      </w:r>
      <w:r>
        <w:rPr>
          <w:lang w:val="it-IT"/>
        </w:rPr>
        <w:t>.</w:t>
      </w:r>
    </w:p>
    <w:p w14:paraId="2DCED774" w14:textId="77777777" w:rsidR="002F0F42" w:rsidRDefault="002F0F42" w:rsidP="002F0F42">
      <w:pPr>
        <w:pStyle w:val="Corpotesto"/>
        <w:spacing w:before="1"/>
        <w:ind w:left="360"/>
        <w:jc w:val="both"/>
        <w:rPr>
          <w:lang w:val="it-IT"/>
        </w:rPr>
      </w:pPr>
      <w:r>
        <w:rPr>
          <w:lang w:val="it-IT"/>
        </w:rPr>
        <w:t xml:space="preserve">La norma, inoltre, delinea la procedura da seguire per l’esercizio del diritto di voto: gli elettori fuori sede devono presentare, </w:t>
      </w:r>
      <w:r w:rsidRPr="00555733">
        <w:rPr>
          <w:lang w:val="it-IT"/>
        </w:rPr>
        <w:t xml:space="preserve">almeno </w:t>
      </w:r>
      <w:r>
        <w:rPr>
          <w:lang w:val="it-IT"/>
        </w:rPr>
        <w:t xml:space="preserve">35 </w:t>
      </w:r>
      <w:r w:rsidRPr="00555733">
        <w:rPr>
          <w:lang w:val="it-IT"/>
        </w:rPr>
        <w:t>giorni prima della data di svolgimento dell</w:t>
      </w:r>
      <w:r>
        <w:rPr>
          <w:lang w:val="it-IT"/>
        </w:rPr>
        <w:t xml:space="preserve">e elezioni, domanda </w:t>
      </w:r>
      <w:r w:rsidRPr="00555733">
        <w:rPr>
          <w:lang w:val="it-IT"/>
        </w:rPr>
        <w:t xml:space="preserve">al Comune nelle cui liste elettorali </w:t>
      </w:r>
      <w:r>
        <w:rPr>
          <w:lang w:val="it-IT"/>
        </w:rPr>
        <w:t>sono</w:t>
      </w:r>
      <w:r w:rsidRPr="00555733">
        <w:rPr>
          <w:lang w:val="it-IT"/>
        </w:rPr>
        <w:t xml:space="preserve"> iscritti</w:t>
      </w:r>
      <w:r>
        <w:rPr>
          <w:lang w:val="it-IT"/>
        </w:rPr>
        <w:t>.</w:t>
      </w:r>
      <w:r w:rsidRPr="0002524B">
        <w:rPr>
          <w:lang w:val="it-IT"/>
        </w:rPr>
        <w:t xml:space="preserve"> </w:t>
      </w:r>
      <w:r>
        <w:rPr>
          <w:lang w:val="it-IT"/>
        </w:rPr>
        <w:t xml:space="preserve">La domanda </w:t>
      </w:r>
      <w:r w:rsidRPr="0002524B">
        <w:rPr>
          <w:lang w:val="it-IT"/>
        </w:rPr>
        <w:t>può essere presentata personalmente, tramite</w:t>
      </w:r>
      <w:r>
        <w:rPr>
          <w:lang w:val="it-IT"/>
        </w:rPr>
        <w:t xml:space="preserve"> </w:t>
      </w:r>
      <w:r w:rsidRPr="0002524B">
        <w:rPr>
          <w:lang w:val="it-IT"/>
        </w:rPr>
        <w:t>persona delegata o mediante l</w:t>
      </w:r>
      <w:r>
        <w:rPr>
          <w:lang w:val="it-IT"/>
        </w:rPr>
        <w:t>’</w:t>
      </w:r>
      <w:r w:rsidRPr="0002524B">
        <w:rPr>
          <w:lang w:val="it-IT"/>
        </w:rPr>
        <w:t>utilizzo di strumenti telematici</w:t>
      </w:r>
      <w:r>
        <w:rPr>
          <w:lang w:val="it-IT"/>
        </w:rPr>
        <w:t xml:space="preserve"> e deve essere corredata dalla documentazione indicata dalla medesima norma in commento.</w:t>
      </w:r>
    </w:p>
    <w:p w14:paraId="732C45F8" w14:textId="77777777" w:rsidR="002F0F42" w:rsidRDefault="002F0F42" w:rsidP="002F0F42">
      <w:pPr>
        <w:pStyle w:val="Corpotesto"/>
        <w:spacing w:before="1"/>
        <w:ind w:left="360"/>
        <w:jc w:val="both"/>
        <w:rPr>
          <w:lang w:val="it-IT"/>
        </w:rPr>
      </w:pPr>
      <w:r>
        <w:rPr>
          <w:lang w:val="it-IT"/>
        </w:rPr>
        <w:t>Per quanto riguarda gli adempimenti posti a carico delle amministrazioni comunali, si evidenzia che i</w:t>
      </w:r>
      <w:r w:rsidRPr="0002524B">
        <w:rPr>
          <w:lang w:val="it-IT"/>
        </w:rPr>
        <w:t>l Comune di residenza verifica il possesso del diritto di elettorato attivo da parte</w:t>
      </w:r>
      <w:r>
        <w:rPr>
          <w:lang w:val="it-IT"/>
        </w:rPr>
        <w:t xml:space="preserve"> </w:t>
      </w:r>
      <w:r w:rsidRPr="0002524B">
        <w:rPr>
          <w:lang w:val="it-IT"/>
        </w:rPr>
        <w:t>dell</w:t>
      </w:r>
      <w:r>
        <w:rPr>
          <w:lang w:val="it-IT"/>
        </w:rPr>
        <w:t>’</w:t>
      </w:r>
      <w:r w:rsidRPr="0002524B">
        <w:rPr>
          <w:lang w:val="it-IT"/>
        </w:rPr>
        <w:t xml:space="preserve">elettore fuori sede, entro </w:t>
      </w:r>
      <w:r>
        <w:rPr>
          <w:lang w:val="it-IT"/>
        </w:rPr>
        <w:t>20</w:t>
      </w:r>
      <w:r w:rsidRPr="0002524B">
        <w:rPr>
          <w:lang w:val="it-IT"/>
        </w:rPr>
        <w:t xml:space="preserve"> giorn</w:t>
      </w:r>
      <w:r>
        <w:rPr>
          <w:lang w:val="it-IT"/>
        </w:rPr>
        <w:t>i precedenti</w:t>
      </w:r>
      <w:r w:rsidRPr="0002524B">
        <w:rPr>
          <w:lang w:val="it-IT"/>
        </w:rPr>
        <w:t xml:space="preserve"> la data </w:t>
      </w:r>
      <w:r w:rsidR="00007720" w:rsidRPr="0002524B">
        <w:rPr>
          <w:lang w:val="it-IT"/>
        </w:rPr>
        <w:t>delle elezioni</w:t>
      </w:r>
      <w:r w:rsidRPr="0002524B">
        <w:rPr>
          <w:lang w:val="it-IT"/>
        </w:rPr>
        <w:t xml:space="preserve">, e ne dà notizia al Comune </w:t>
      </w:r>
      <w:r>
        <w:rPr>
          <w:lang w:val="it-IT"/>
        </w:rPr>
        <w:t xml:space="preserve">in cui </w:t>
      </w:r>
      <w:r w:rsidRPr="0002524B">
        <w:rPr>
          <w:lang w:val="it-IT"/>
        </w:rPr>
        <w:t>l</w:t>
      </w:r>
      <w:r>
        <w:rPr>
          <w:lang w:val="it-IT"/>
        </w:rPr>
        <w:t>’</w:t>
      </w:r>
      <w:r w:rsidRPr="0002524B">
        <w:rPr>
          <w:lang w:val="it-IT"/>
        </w:rPr>
        <w:t>elettore</w:t>
      </w:r>
      <w:r>
        <w:rPr>
          <w:lang w:val="it-IT"/>
        </w:rPr>
        <w:t xml:space="preserve"> si recherà a votare (e, dunque, </w:t>
      </w:r>
      <w:r w:rsidRPr="0002524B">
        <w:rPr>
          <w:lang w:val="it-IT"/>
        </w:rPr>
        <w:t xml:space="preserve">il Comune di temporaneo domicilio </w:t>
      </w:r>
      <w:r>
        <w:rPr>
          <w:lang w:val="it-IT"/>
        </w:rPr>
        <w:t xml:space="preserve">ovvero il </w:t>
      </w:r>
      <w:r w:rsidRPr="0002524B">
        <w:rPr>
          <w:lang w:val="it-IT"/>
        </w:rPr>
        <w:t xml:space="preserve">Comune capoluogo </w:t>
      </w:r>
      <w:r>
        <w:rPr>
          <w:lang w:val="it-IT"/>
        </w:rPr>
        <w:t>di</w:t>
      </w:r>
      <w:r w:rsidRPr="0002524B">
        <w:rPr>
          <w:lang w:val="it-IT"/>
        </w:rPr>
        <w:t xml:space="preserve"> Regione</w:t>
      </w:r>
      <w:r>
        <w:rPr>
          <w:lang w:val="it-IT"/>
        </w:rPr>
        <w:t xml:space="preserve">). </w:t>
      </w:r>
      <w:r w:rsidRPr="0002524B">
        <w:rPr>
          <w:lang w:val="it-IT"/>
        </w:rPr>
        <w:t>Inoltre</w:t>
      </w:r>
      <w:r>
        <w:rPr>
          <w:lang w:val="it-IT"/>
        </w:rPr>
        <w:t>,</w:t>
      </w:r>
      <w:r w:rsidRPr="0002524B">
        <w:rPr>
          <w:lang w:val="it-IT"/>
        </w:rPr>
        <w:t xml:space="preserve"> l</w:t>
      </w:r>
      <w:r>
        <w:rPr>
          <w:lang w:val="it-IT"/>
        </w:rPr>
        <w:t>’</w:t>
      </w:r>
      <w:r w:rsidRPr="0002524B">
        <w:rPr>
          <w:lang w:val="it-IT"/>
        </w:rPr>
        <w:t>ufficiale elettorale del Comune di residenza</w:t>
      </w:r>
      <w:r>
        <w:rPr>
          <w:lang w:val="it-IT"/>
        </w:rPr>
        <w:t xml:space="preserve"> </w:t>
      </w:r>
      <w:r w:rsidRPr="0002524B">
        <w:rPr>
          <w:lang w:val="it-IT"/>
        </w:rPr>
        <w:t>annota nella lista sezionale nella quale è iscritto l</w:t>
      </w:r>
      <w:r>
        <w:rPr>
          <w:lang w:val="it-IT"/>
        </w:rPr>
        <w:t>’</w:t>
      </w:r>
      <w:r w:rsidRPr="0002524B">
        <w:rPr>
          <w:lang w:val="it-IT"/>
        </w:rPr>
        <w:t>elettore fuori sede, che</w:t>
      </w:r>
      <w:r>
        <w:rPr>
          <w:lang w:val="it-IT"/>
        </w:rPr>
        <w:t xml:space="preserve"> </w:t>
      </w:r>
      <w:r w:rsidRPr="0002524B">
        <w:rPr>
          <w:lang w:val="it-IT"/>
        </w:rPr>
        <w:t>quest</w:t>
      </w:r>
      <w:r>
        <w:rPr>
          <w:lang w:val="it-IT"/>
        </w:rPr>
        <w:t>’</w:t>
      </w:r>
      <w:r w:rsidRPr="0002524B">
        <w:rPr>
          <w:lang w:val="it-IT"/>
        </w:rPr>
        <w:t>ultimo eserciterà il voto per le elezioni europee in altro Comune.</w:t>
      </w:r>
    </w:p>
    <w:p w14:paraId="04852A37" w14:textId="77777777" w:rsidR="002F0F42" w:rsidRDefault="002F0F42" w:rsidP="002F0F42">
      <w:pPr>
        <w:pStyle w:val="Corpotesto"/>
        <w:spacing w:before="1"/>
        <w:ind w:left="360"/>
        <w:jc w:val="both"/>
        <w:rPr>
          <w:lang w:val="it-IT"/>
        </w:rPr>
      </w:pPr>
      <w:r>
        <w:rPr>
          <w:lang w:val="it-IT"/>
        </w:rPr>
        <w:t xml:space="preserve">Con riferimento alle </w:t>
      </w:r>
      <w:r w:rsidRPr="003870AF">
        <w:rPr>
          <w:lang w:val="it-IT"/>
        </w:rPr>
        <w:t>sezioni elettorali speciali, il</w:t>
      </w:r>
      <w:r>
        <w:rPr>
          <w:lang w:val="it-IT"/>
        </w:rPr>
        <w:t xml:space="preserve"> Sindaco ne nomina il </w:t>
      </w:r>
      <w:r w:rsidRPr="003870AF">
        <w:rPr>
          <w:lang w:val="it-IT"/>
        </w:rPr>
        <w:t xml:space="preserve">presidente </w:t>
      </w:r>
      <w:r>
        <w:rPr>
          <w:lang w:val="it-IT"/>
        </w:rPr>
        <w:t>e i</w:t>
      </w:r>
      <w:r w:rsidRPr="003870AF">
        <w:rPr>
          <w:lang w:val="it-IT"/>
        </w:rPr>
        <w:t xml:space="preserve"> componenti </w:t>
      </w:r>
      <w:r>
        <w:rPr>
          <w:lang w:val="it-IT"/>
        </w:rPr>
        <w:t>preferibilmente tra gli iscritti ai rispettivi albi.</w:t>
      </w:r>
    </w:p>
    <w:p w14:paraId="03B141D9" w14:textId="77777777" w:rsidR="002F0F42" w:rsidRDefault="002F0F42" w:rsidP="002F0F42">
      <w:pPr>
        <w:pStyle w:val="Corpotesto"/>
        <w:spacing w:before="1"/>
        <w:ind w:left="360"/>
        <w:jc w:val="both"/>
        <w:rPr>
          <w:lang w:val="it-IT"/>
        </w:rPr>
      </w:pPr>
      <w:r>
        <w:rPr>
          <w:lang w:val="it-IT"/>
        </w:rPr>
        <w:t>Infine, le</w:t>
      </w:r>
      <w:r w:rsidRPr="003870AF">
        <w:rPr>
          <w:lang w:val="it-IT"/>
        </w:rPr>
        <w:t xml:space="preserve"> operazioni di voto presso le sezioni elettorali speciali si svolgono</w:t>
      </w:r>
      <w:r>
        <w:rPr>
          <w:lang w:val="it-IT"/>
        </w:rPr>
        <w:t xml:space="preserve"> </w:t>
      </w:r>
      <w:r w:rsidRPr="003870AF">
        <w:rPr>
          <w:lang w:val="it-IT"/>
        </w:rPr>
        <w:t>contemporaneamente alle operazioni di voto presso le sezioni elettorali ordinarie</w:t>
      </w:r>
      <w:r>
        <w:rPr>
          <w:lang w:val="it-IT"/>
        </w:rPr>
        <w:t xml:space="preserve"> </w:t>
      </w:r>
      <w:r w:rsidRPr="003870AF">
        <w:rPr>
          <w:lang w:val="it-IT"/>
        </w:rPr>
        <w:t xml:space="preserve">del territorio nazionale </w:t>
      </w:r>
      <w:r>
        <w:rPr>
          <w:lang w:val="it-IT"/>
        </w:rPr>
        <w:t>e l</w:t>
      </w:r>
      <w:r w:rsidRPr="003870AF">
        <w:rPr>
          <w:lang w:val="it-IT"/>
        </w:rPr>
        <w:t>e operazioni di scrutinio si svolgono subito</w:t>
      </w:r>
      <w:r>
        <w:rPr>
          <w:lang w:val="it-IT"/>
        </w:rPr>
        <w:t xml:space="preserve"> </w:t>
      </w:r>
      <w:r w:rsidRPr="003870AF">
        <w:rPr>
          <w:lang w:val="it-IT"/>
        </w:rPr>
        <w:t>dopo la chiusura delle operazioni di voto</w:t>
      </w:r>
      <w:r>
        <w:rPr>
          <w:lang w:val="it-IT"/>
        </w:rPr>
        <w:t>.</w:t>
      </w:r>
    </w:p>
    <w:p w14:paraId="4237C858" w14:textId="341ADE89" w:rsidR="002F0F42" w:rsidRDefault="002F0F42" w:rsidP="002F0F42">
      <w:pPr>
        <w:pStyle w:val="Corpotesto"/>
        <w:spacing w:before="1"/>
        <w:ind w:left="360"/>
        <w:jc w:val="both"/>
        <w:rPr>
          <w:lang w:val="it-IT"/>
        </w:rPr>
      </w:pPr>
      <w:r>
        <w:rPr>
          <w:lang w:val="it-IT"/>
        </w:rPr>
        <w:t>L</w:t>
      </w:r>
      <w:r w:rsidR="00764763">
        <w:rPr>
          <w:lang w:val="it-IT"/>
        </w:rPr>
        <w:t xml:space="preserve">a norma </w:t>
      </w:r>
      <w:r>
        <w:rPr>
          <w:lang w:val="it-IT"/>
        </w:rPr>
        <w:t xml:space="preserve">in commento, inoltre, </w:t>
      </w:r>
      <w:r w:rsidRPr="003870AF">
        <w:rPr>
          <w:lang w:val="it-IT"/>
        </w:rPr>
        <w:t>quantifica gli oneri derivanti dall</w:t>
      </w:r>
      <w:r>
        <w:rPr>
          <w:lang w:val="it-IT"/>
        </w:rPr>
        <w:t>’</w:t>
      </w:r>
      <w:r w:rsidRPr="003870AF">
        <w:rPr>
          <w:lang w:val="it-IT"/>
        </w:rPr>
        <w:t>istituzion</w:t>
      </w:r>
      <w:r>
        <w:rPr>
          <w:lang w:val="it-IT"/>
        </w:rPr>
        <w:t>e</w:t>
      </w:r>
      <w:r w:rsidRPr="003870AF">
        <w:rPr>
          <w:lang w:val="it-IT"/>
        </w:rPr>
        <w:t xml:space="preserve"> delle sezioni elettorali</w:t>
      </w:r>
      <w:r>
        <w:rPr>
          <w:lang w:val="it-IT"/>
        </w:rPr>
        <w:t xml:space="preserve"> </w:t>
      </w:r>
      <w:r w:rsidRPr="003870AF">
        <w:rPr>
          <w:lang w:val="it-IT"/>
        </w:rPr>
        <w:t>speciali presso ogni capoluogo di Regione</w:t>
      </w:r>
      <w:r>
        <w:rPr>
          <w:lang w:val="it-IT"/>
        </w:rPr>
        <w:t xml:space="preserve"> in </w:t>
      </w:r>
      <w:r w:rsidRPr="003870AF">
        <w:rPr>
          <w:lang w:val="it-IT"/>
        </w:rPr>
        <w:t>614</w:t>
      </w:r>
      <w:r w:rsidR="00CC205C">
        <w:rPr>
          <w:lang w:val="it-IT"/>
        </w:rPr>
        <w:t>.</w:t>
      </w:r>
      <w:r w:rsidRPr="003870AF">
        <w:rPr>
          <w:lang w:val="it-IT"/>
        </w:rPr>
        <w:t>149 euro, per l</w:t>
      </w:r>
      <w:r>
        <w:rPr>
          <w:lang w:val="it-IT"/>
        </w:rPr>
        <w:t>’</w:t>
      </w:r>
      <w:r w:rsidRPr="003870AF">
        <w:rPr>
          <w:lang w:val="it-IT"/>
        </w:rPr>
        <w:t>anno 2024.</w:t>
      </w:r>
      <w:r>
        <w:rPr>
          <w:lang w:val="it-IT"/>
        </w:rPr>
        <w:t xml:space="preserve"> </w:t>
      </w:r>
      <w:r w:rsidRPr="003870AF">
        <w:rPr>
          <w:lang w:val="it-IT"/>
        </w:rPr>
        <w:t>La relativa copertura è attinta dal Fondo da ripartire per fronteggiare le spese</w:t>
      </w:r>
      <w:r>
        <w:rPr>
          <w:lang w:val="it-IT"/>
        </w:rPr>
        <w:t xml:space="preserve"> </w:t>
      </w:r>
      <w:r w:rsidRPr="003870AF">
        <w:rPr>
          <w:lang w:val="it-IT"/>
        </w:rPr>
        <w:t>derivanti dalle elezioni politiche, amministrative, del Parlamento europeo e</w:t>
      </w:r>
      <w:r>
        <w:rPr>
          <w:lang w:val="it-IT"/>
        </w:rPr>
        <w:t xml:space="preserve"> </w:t>
      </w:r>
      <w:r w:rsidRPr="003870AF">
        <w:rPr>
          <w:lang w:val="it-IT"/>
        </w:rPr>
        <w:t>dell</w:t>
      </w:r>
      <w:r>
        <w:rPr>
          <w:lang w:val="it-IT"/>
        </w:rPr>
        <w:t>’</w:t>
      </w:r>
      <w:r w:rsidRPr="003870AF">
        <w:rPr>
          <w:lang w:val="it-IT"/>
        </w:rPr>
        <w:t>attuazione dei referendum, iscritto nello stato di previsione del M</w:t>
      </w:r>
      <w:r>
        <w:rPr>
          <w:lang w:val="it-IT"/>
        </w:rPr>
        <w:t>i</w:t>
      </w:r>
      <w:r w:rsidRPr="003870AF">
        <w:rPr>
          <w:lang w:val="it-IT"/>
        </w:rPr>
        <w:t>nistero</w:t>
      </w:r>
      <w:r>
        <w:rPr>
          <w:lang w:val="it-IT"/>
        </w:rPr>
        <w:t xml:space="preserve"> </w:t>
      </w:r>
      <w:r w:rsidRPr="003870AF">
        <w:rPr>
          <w:lang w:val="it-IT"/>
        </w:rPr>
        <w:t>dell</w:t>
      </w:r>
      <w:r>
        <w:rPr>
          <w:lang w:val="it-IT"/>
        </w:rPr>
        <w:t>’</w:t>
      </w:r>
      <w:r w:rsidRPr="003870AF">
        <w:rPr>
          <w:lang w:val="it-IT"/>
        </w:rPr>
        <w:t>economia e delle finanze.</w:t>
      </w:r>
    </w:p>
    <w:p w14:paraId="710DBFBE" w14:textId="77777777" w:rsidR="00A4446E" w:rsidRDefault="00A4446E">
      <w:pPr>
        <w:pStyle w:val="Corpotesto"/>
        <w:spacing w:before="1"/>
        <w:ind w:left="0"/>
        <w:rPr>
          <w:sz w:val="28"/>
          <w:lang w:val="it-IT"/>
        </w:rPr>
      </w:pPr>
    </w:p>
    <w:p w14:paraId="3781CBD1" w14:textId="77777777" w:rsidR="000537AF" w:rsidRPr="00A4446E" w:rsidRDefault="000537AF">
      <w:pPr>
        <w:pStyle w:val="Corpotesto"/>
        <w:spacing w:before="1"/>
        <w:ind w:left="0"/>
        <w:rPr>
          <w:sz w:val="28"/>
          <w:lang w:val="it-IT"/>
        </w:rPr>
      </w:pPr>
    </w:p>
    <w:p w14:paraId="0974EB11" w14:textId="77777777" w:rsidR="001D5693" w:rsidRPr="00045F34" w:rsidRDefault="000537AF">
      <w:pPr>
        <w:pStyle w:val="Paragrafoelenco"/>
        <w:numPr>
          <w:ilvl w:val="1"/>
          <w:numId w:val="2"/>
        </w:numPr>
        <w:tabs>
          <w:tab w:val="left" w:pos="833"/>
        </w:tabs>
        <w:ind w:right="108"/>
        <w:rPr>
          <w:b/>
          <w:lang w:val="it-IT"/>
        </w:rPr>
      </w:pPr>
      <w:r w:rsidRPr="00045F34">
        <w:rPr>
          <w:b/>
          <w:color w:val="4B93D8"/>
          <w:lang w:val="it-IT"/>
        </w:rPr>
        <w:t>Disposizioni urgenti in materia di revisione delle anagrafi della popolazione residente e di determinazione della popolazione legale (Art.</w:t>
      </w:r>
      <w:r w:rsidRPr="00045F34">
        <w:rPr>
          <w:b/>
          <w:color w:val="4B93D8"/>
          <w:spacing w:val="-11"/>
          <w:lang w:val="it-IT"/>
        </w:rPr>
        <w:t xml:space="preserve"> </w:t>
      </w:r>
      <w:r w:rsidRPr="00045F34">
        <w:rPr>
          <w:b/>
          <w:color w:val="4B93D8"/>
          <w:lang w:val="it-IT"/>
        </w:rPr>
        <w:t>2)</w:t>
      </w:r>
    </w:p>
    <w:p w14:paraId="656AB25B" w14:textId="77777777" w:rsidR="001D5693" w:rsidRPr="00045F34" w:rsidRDefault="000537AF">
      <w:pPr>
        <w:pStyle w:val="Corpotesto"/>
        <w:spacing w:before="2"/>
        <w:ind w:right="106"/>
        <w:jc w:val="both"/>
        <w:rPr>
          <w:lang w:val="it-IT"/>
        </w:rPr>
      </w:pPr>
      <w:r w:rsidRPr="00045F34">
        <w:rPr>
          <w:lang w:val="it-IT"/>
        </w:rPr>
        <w:t>La norma</w:t>
      </w:r>
      <w:r w:rsidR="00764763">
        <w:rPr>
          <w:lang w:val="it-IT"/>
        </w:rPr>
        <w:t xml:space="preserve"> in commento</w:t>
      </w:r>
      <w:r w:rsidRPr="00045F34">
        <w:rPr>
          <w:lang w:val="it-IT"/>
        </w:rPr>
        <w:t>, al fine di evitare gli inconvenienti che possono derivare dal mancato allineamento tra le risultanze censuarie e l’ammontare dei residenti presenti in ANPR intende ripristinare la possibilità della restituzione ai Comuni dei dati censuari anche «in forma individuale» (in termini di probabilità di presenza/assenza nella dimora abituale), trattandosi dell’unica “forma” che permette di realizzare un’effettiva revisione qualitativa delle</w:t>
      </w:r>
      <w:r w:rsidRPr="00045F34">
        <w:rPr>
          <w:spacing w:val="-13"/>
          <w:lang w:val="it-IT"/>
        </w:rPr>
        <w:t xml:space="preserve"> </w:t>
      </w:r>
      <w:r w:rsidRPr="00045F34">
        <w:rPr>
          <w:lang w:val="it-IT"/>
        </w:rPr>
        <w:t>anagrafi</w:t>
      </w:r>
      <w:r w:rsidRPr="00045F34">
        <w:rPr>
          <w:spacing w:val="-13"/>
          <w:lang w:val="it-IT"/>
        </w:rPr>
        <w:t xml:space="preserve"> </w:t>
      </w:r>
      <w:r w:rsidRPr="00045F34">
        <w:rPr>
          <w:lang w:val="it-IT"/>
        </w:rPr>
        <w:t>sulla</w:t>
      </w:r>
      <w:r w:rsidRPr="00045F34">
        <w:rPr>
          <w:spacing w:val="-16"/>
          <w:lang w:val="it-IT"/>
        </w:rPr>
        <w:t xml:space="preserve"> </w:t>
      </w:r>
      <w:r w:rsidRPr="00045F34">
        <w:rPr>
          <w:lang w:val="it-IT"/>
        </w:rPr>
        <w:t>base</w:t>
      </w:r>
      <w:r w:rsidRPr="00045F34">
        <w:rPr>
          <w:spacing w:val="-12"/>
          <w:lang w:val="it-IT"/>
        </w:rPr>
        <w:t xml:space="preserve"> </w:t>
      </w:r>
      <w:r w:rsidRPr="00045F34">
        <w:rPr>
          <w:lang w:val="it-IT"/>
        </w:rPr>
        <w:t>delle</w:t>
      </w:r>
      <w:r w:rsidRPr="00045F34">
        <w:rPr>
          <w:spacing w:val="-13"/>
          <w:lang w:val="it-IT"/>
        </w:rPr>
        <w:t xml:space="preserve"> </w:t>
      </w:r>
      <w:r w:rsidRPr="00045F34">
        <w:rPr>
          <w:lang w:val="it-IT"/>
        </w:rPr>
        <w:t>risultanze</w:t>
      </w:r>
      <w:r w:rsidRPr="00045F34">
        <w:rPr>
          <w:spacing w:val="-13"/>
          <w:lang w:val="it-IT"/>
        </w:rPr>
        <w:t xml:space="preserve"> </w:t>
      </w:r>
      <w:r w:rsidRPr="00045F34">
        <w:rPr>
          <w:lang w:val="it-IT"/>
        </w:rPr>
        <w:t>censuarie,</w:t>
      </w:r>
      <w:r w:rsidRPr="00045F34">
        <w:rPr>
          <w:spacing w:val="-12"/>
          <w:lang w:val="it-IT"/>
        </w:rPr>
        <w:t xml:space="preserve"> </w:t>
      </w:r>
      <w:r w:rsidRPr="00045F34">
        <w:rPr>
          <w:lang w:val="it-IT"/>
        </w:rPr>
        <w:t>in</w:t>
      </w:r>
      <w:r w:rsidRPr="00045F34">
        <w:rPr>
          <w:spacing w:val="-13"/>
          <w:lang w:val="it-IT"/>
        </w:rPr>
        <w:t xml:space="preserve"> </w:t>
      </w:r>
      <w:r w:rsidRPr="00045F34">
        <w:rPr>
          <w:lang w:val="it-IT"/>
        </w:rPr>
        <w:t>conformità</w:t>
      </w:r>
      <w:r w:rsidRPr="00045F34">
        <w:rPr>
          <w:spacing w:val="-16"/>
          <w:lang w:val="it-IT"/>
        </w:rPr>
        <w:t xml:space="preserve"> </w:t>
      </w:r>
      <w:r w:rsidRPr="00045F34">
        <w:rPr>
          <w:lang w:val="it-IT"/>
        </w:rPr>
        <w:t>alle</w:t>
      </w:r>
      <w:r w:rsidRPr="00045F34">
        <w:rPr>
          <w:spacing w:val="-12"/>
          <w:lang w:val="it-IT"/>
        </w:rPr>
        <w:t xml:space="preserve"> </w:t>
      </w:r>
      <w:r w:rsidRPr="00045F34">
        <w:rPr>
          <w:lang w:val="it-IT"/>
        </w:rPr>
        <w:t>previsioni</w:t>
      </w:r>
      <w:r w:rsidRPr="00045F34">
        <w:rPr>
          <w:spacing w:val="-13"/>
          <w:lang w:val="it-IT"/>
        </w:rPr>
        <w:t xml:space="preserve"> </w:t>
      </w:r>
      <w:r w:rsidRPr="00045F34">
        <w:rPr>
          <w:lang w:val="it-IT"/>
        </w:rPr>
        <w:t>del</w:t>
      </w:r>
      <w:r w:rsidRPr="00045F34">
        <w:rPr>
          <w:spacing w:val="-11"/>
          <w:lang w:val="it-IT"/>
        </w:rPr>
        <w:t xml:space="preserve"> </w:t>
      </w:r>
      <w:r w:rsidRPr="00045F34">
        <w:rPr>
          <w:lang w:val="it-IT"/>
        </w:rPr>
        <w:t>vigente Regolamento</w:t>
      </w:r>
      <w:r w:rsidRPr="00045F34">
        <w:rPr>
          <w:spacing w:val="-1"/>
          <w:lang w:val="it-IT"/>
        </w:rPr>
        <w:t xml:space="preserve"> </w:t>
      </w:r>
      <w:r w:rsidRPr="00045F34">
        <w:rPr>
          <w:lang w:val="it-IT"/>
        </w:rPr>
        <w:t>anagrafico.</w:t>
      </w:r>
    </w:p>
    <w:p w14:paraId="49493C54" w14:textId="77777777" w:rsidR="001D5693" w:rsidRPr="00045F34" w:rsidRDefault="000537AF" w:rsidP="004C7D3E">
      <w:pPr>
        <w:pStyle w:val="Corpotesto"/>
        <w:ind w:right="109"/>
        <w:jc w:val="both"/>
        <w:rPr>
          <w:lang w:val="it-IT"/>
        </w:rPr>
      </w:pPr>
      <w:r w:rsidRPr="00045F34">
        <w:rPr>
          <w:lang w:val="it-IT"/>
        </w:rPr>
        <w:t>La norma interviene altresì sulla disciplina relativa alla determinazione della cd. “popolazione legale”, ossia della popolazione risultante dal censimento da utilizzare come riferimento</w:t>
      </w:r>
      <w:r w:rsidRPr="00045F34">
        <w:rPr>
          <w:spacing w:val="-18"/>
          <w:lang w:val="it-IT"/>
        </w:rPr>
        <w:t xml:space="preserve"> </w:t>
      </w:r>
      <w:r w:rsidRPr="00045F34">
        <w:rPr>
          <w:lang w:val="it-IT"/>
        </w:rPr>
        <w:t>ufficiale</w:t>
      </w:r>
      <w:r w:rsidRPr="00045F34">
        <w:rPr>
          <w:spacing w:val="-14"/>
          <w:lang w:val="it-IT"/>
        </w:rPr>
        <w:t xml:space="preserve"> </w:t>
      </w:r>
      <w:r w:rsidRPr="00045F34">
        <w:rPr>
          <w:lang w:val="it-IT"/>
        </w:rPr>
        <w:t>per</w:t>
      </w:r>
      <w:r w:rsidRPr="00045F34">
        <w:rPr>
          <w:spacing w:val="-17"/>
          <w:lang w:val="it-IT"/>
        </w:rPr>
        <w:t xml:space="preserve"> </w:t>
      </w:r>
      <w:r w:rsidRPr="00045F34">
        <w:rPr>
          <w:lang w:val="it-IT"/>
        </w:rPr>
        <w:t>l’applicazione</w:t>
      </w:r>
      <w:r w:rsidRPr="00045F34">
        <w:rPr>
          <w:spacing w:val="-15"/>
          <w:lang w:val="it-IT"/>
        </w:rPr>
        <w:t xml:space="preserve"> </w:t>
      </w:r>
      <w:r w:rsidRPr="00045F34">
        <w:rPr>
          <w:spacing w:val="-3"/>
          <w:lang w:val="it-IT"/>
        </w:rPr>
        <w:t>di</w:t>
      </w:r>
      <w:r w:rsidRPr="00045F34">
        <w:rPr>
          <w:spacing w:val="-14"/>
          <w:lang w:val="it-IT"/>
        </w:rPr>
        <w:t xml:space="preserve"> </w:t>
      </w:r>
      <w:r w:rsidRPr="00045F34">
        <w:rPr>
          <w:lang w:val="it-IT"/>
        </w:rPr>
        <w:t>norme</w:t>
      </w:r>
      <w:r w:rsidRPr="00045F34">
        <w:rPr>
          <w:spacing w:val="-18"/>
          <w:lang w:val="it-IT"/>
        </w:rPr>
        <w:t xml:space="preserve"> </w:t>
      </w:r>
      <w:r w:rsidRPr="00045F34">
        <w:rPr>
          <w:lang w:val="it-IT"/>
        </w:rPr>
        <w:t>di</w:t>
      </w:r>
      <w:r w:rsidRPr="00045F34">
        <w:rPr>
          <w:spacing w:val="-17"/>
          <w:lang w:val="it-IT"/>
        </w:rPr>
        <w:t xml:space="preserve"> </w:t>
      </w:r>
      <w:r w:rsidRPr="00045F34">
        <w:rPr>
          <w:lang w:val="it-IT"/>
        </w:rPr>
        <w:t>legge</w:t>
      </w:r>
      <w:r w:rsidRPr="00045F34">
        <w:rPr>
          <w:spacing w:val="-19"/>
          <w:lang w:val="it-IT"/>
        </w:rPr>
        <w:t xml:space="preserve"> </w:t>
      </w:r>
      <w:r w:rsidRPr="00045F34">
        <w:rPr>
          <w:lang w:val="it-IT"/>
        </w:rPr>
        <w:t>o</w:t>
      </w:r>
      <w:r w:rsidRPr="00045F34">
        <w:rPr>
          <w:spacing w:val="-14"/>
          <w:lang w:val="it-IT"/>
        </w:rPr>
        <w:t xml:space="preserve"> </w:t>
      </w:r>
      <w:r w:rsidRPr="00045F34">
        <w:rPr>
          <w:lang w:val="it-IT"/>
        </w:rPr>
        <w:t>regolamento,</w:t>
      </w:r>
      <w:r w:rsidRPr="00045F34">
        <w:rPr>
          <w:spacing w:val="-22"/>
          <w:lang w:val="it-IT"/>
        </w:rPr>
        <w:t xml:space="preserve"> </w:t>
      </w:r>
      <w:r w:rsidRPr="00045F34">
        <w:rPr>
          <w:lang w:val="it-IT"/>
        </w:rPr>
        <w:t>il</w:t>
      </w:r>
      <w:r w:rsidRPr="00045F34">
        <w:rPr>
          <w:spacing w:val="-17"/>
          <w:lang w:val="it-IT"/>
        </w:rPr>
        <w:t xml:space="preserve"> </w:t>
      </w:r>
      <w:r w:rsidRPr="00045F34">
        <w:rPr>
          <w:lang w:val="it-IT"/>
        </w:rPr>
        <w:t>cui</w:t>
      </w:r>
      <w:r w:rsidRPr="00045F34">
        <w:rPr>
          <w:spacing w:val="-14"/>
          <w:lang w:val="it-IT"/>
        </w:rPr>
        <w:t xml:space="preserve"> </w:t>
      </w:r>
      <w:r w:rsidRPr="00045F34">
        <w:rPr>
          <w:lang w:val="it-IT"/>
        </w:rPr>
        <w:t>dato</w:t>
      </w:r>
      <w:r w:rsidRPr="00045F34">
        <w:rPr>
          <w:spacing w:val="-18"/>
          <w:lang w:val="it-IT"/>
        </w:rPr>
        <w:t xml:space="preserve"> </w:t>
      </w:r>
      <w:r w:rsidRPr="00045F34">
        <w:rPr>
          <w:lang w:val="it-IT"/>
        </w:rPr>
        <w:t>è</w:t>
      </w:r>
      <w:r w:rsidRPr="00045F34">
        <w:rPr>
          <w:spacing w:val="-17"/>
          <w:lang w:val="it-IT"/>
        </w:rPr>
        <w:t xml:space="preserve"> </w:t>
      </w:r>
      <w:r w:rsidRPr="00045F34">
        <w:rPr>
          <w:lang w:val="it-IT"/>
        </w:rPr>
        <w:t>indicato con un apposito decreto del Presidente della Repubblica, emanato</w:t>
      </w:r>
      <w:r w:rsidR="00412CA8">
        <w:rPr>
          <w:lang w:val="it-IT"/>
        </w:rPr>
        <w:t xml:space="preserve"> </w:t>
      </w:r>
      <w:r w:rsidR="00412CA8" w:rsidRPr="00E7060A">
        <w:rPr>
          <w:u w:val="single"/>
          <w:lang w:val="it-IT"/>
        </w:rPr>
        <w:t>con cadenza</w:t>
      </w:r>
      <w:r w:rsidR="00E7060A" w:rsidRPr="00E7060A">
        <w:rPr>
          <w:u w:val="single"/>
          <w:lang w:val="it-IT"/>
        </w:rPr>
        <w:t xml:space="preserve"> quinquennale (e non più decennale)</w:t>
      </w:r>
      <w:r w:rsidR="00E7060A">
        <w:rPr>
          <w:u w:val="single"/>
          <w:lang w:val="it-IT"/>
        </w:rPr>
        <w:t>.</w:t>
      </w:r>
    </w:p>
    <w:p w14:paraId="199C323E" w14:textId="77777777" w:rsidR="001D5693" w:rsidRPr="00045F34" w:rsidRDefault="001D5693">
      <w:pPr>
        <w:pStyle w:val="Corpotesto"/>
        <w:spacing w:before="9"/>
        <w:ind w:left="0"/>
        <w:rPr>
          <w:sz w:val="21"/>
          <w:lang w:val="it-IT"/>
        </w:rPr>
      </w:pPr>
    </w:p>
    <w:p w14:paraId="18403231" w14:textId="05D7FCAC" w:rsidR="001D5693" w:rsidRPr="00045F34" w:rsidRDefault="000537AF">
      <w:pPr>
        <w:pStyle w:val="Corpotesto"/>
        <w:spacing w:before="1"/>
        <w:ind w:right="110"/>
        <w:jc w:val="both"/>
        <w:rPr>
          <w:lang w:val="it-IT"/>
        </w:rPr>
      </w:pPr>
      <w:r w:rsidRPr="00045F34">
        <w:rPr>
          <w:lang w:val="it-IT"/>
        </w:rPr>
        <w:t>Infine</w:t>
      </w:r>
      <w:r w:rsidR="00CC205C">
        <w:rPr>
          <w:lang w:val="it-IT"/>
        </w:rPr>
        <w:t>,</w:t>
      </w:r>
      <w:r w:rsidRPr="00045F34">
        <w:rPr>
          <w:lang w:val="it-IT"/>
        </w:rPr>
        <w:t xml:space="preserve"> si prevede l’adozione di un apposito regolamento governativo attraverso il quale andrà operata la riforma delle disposizioni del vigente Regolamento anagrafico (D.P.R. n. 223</w:t>
      </w:r>
      <w:r w:rsidRPr="00045F34">
        <w:rPr>
          <w:spacing w:val="-7"/>
          <w:lang w:val="it-IT"/>
        </w:rPr>
        <w:t xml:space="preserve"> </w:t>
      </w:r>
      <w:r w:rsidRPr="00045F34">
        <w:rPr>
          <w:lang w:val="it-IT"/>
        </w:rPr>
        <w:t>del</w:t>
      </w:r>
      <w:r w:rsidRPr="00045F34">
        <w:rPr>
          <w:spacing w:val="-3"/>
          <w:lang w:val="it-IT"/>
        </w:rPr>
        <w:t xml:space="preserve"> </w:t>
      </w:r>
      <w:r w:rsidRPr="00045F34">
        <w:rPr>
          <w:lang w:val="it-IT"/>
        </w:rPr>
        <w:t>1989)</w:t>
      </w:r>
      <w:r w:rsidRPr="00045F34">
        <w:rPr>
          <w:spacing w:val="-4"/>
          <w:lang w:val="it-IT"/>
        </w:rPr>
        <w:t xml:space="preserve"> </w:t>
      </w:r>
      <w:r w:rsidRPr="00045F34">
        <w:rPr>
          <w:lang w:val="it-IT"/>
        </w:rPr>
        <w:t>collegate</w:t>
      </w:r>
      <w:r w:rsidRPr="00045F34">
        <w:rPr>
          <w:spacing w:val="-4"/>
          <w:lang w:val="it-IT"/>
        </w:rPr>
        <w:t xml:space="preserve"> </w:t>
      </w:r>
      <w:r w:rsidRPr="00045F34">
        <w:rPr>
          <w:lang w:val="it-IT"/>
        </w:rPr>
        <w:t>all’esecuzione</w:t>
      </w:r>
      <w:r w:rsidRPr="00045F34">
        <w:rPr>
          <w:spacing w:val="-3"/>
          <w:lang w:val="it-IT"/>
        </w:rPr>
        <w:t xml:space="preserve"> </w:t>
      </w:r>
      <w:r w:rsidRPr="00045F34">
        <w:rPr>
          <w:lang w:val="it-IT"/>
        </w:rPr>
        <w:t>del</w:t>
      </w:r>
      <w:r w:rsidRPr="00045F34">
        <w:rPr>
          <w:spacing w:val="-8"/>
          <w:lang w:val="it-IT"/>
        </w:rPr>
        <w:t xml:space="preserve"> </w:t>
      </w:r>
      <w:r w:rsidRPr="00045F34">
        <w:rPr>
          <w:lang w:val="it-IT"/>
        </w:rPr>
        <w:t>censimento</w:t>
      </w:r>
      <w:r w:rsidRPr="00045F34">
        <w:rPr>
          <w:spacing w:val="-4"/>
          <w:lang w:val="it-IT"/>
        </w:rPr>
        <w:t xml:space="preserve"> </w:t>
      </w:r>
      <w:r w:rsidRPr="00045F34">
        <w:rPr>
          <w:lang w:val="it-IT"/>
        </w:rPr>
        <w:t>della</w:t>
      </w:r>
      <w:r w:rsidRPr="00045F34">
        <w:rPr>
          <w:spacing w:val="-6"/>
          <w:lang w:val="it-IT"/>
        </w:rPr>
        <w:t xml:space="preserve"> </w:t>
      </w:r>
      <w:r w:rsidRPr="00045F34">
        <w:rPr>
          <w:lang w:val="it-IT"/>
        </w:rPr>
        <w:t>popolazione</w:t>
      </w:r>
      <w:r w:rsidRPr="00045F34">
        <w:rPr>
          <w:spacing w:val="-4"/>
          <w:lang w:val="it-IT"/>
        </w:rPr>
        <w:t xml:space="preserve"> </w:t>
      </w:r>
      <w:r w:rsidRPr="00045F34">
        <w:rPr>
          <w:lang w:val="it-IT"/>
        </w:rPr>
        <w:t>e</w:t>
      </w:r>
      <w:r w:rsidRPr="00045F34">
        <w:rPr>
          <w:spacing w:val="-6"/>
          <w:lang w:val="it-IT"/>
        </w:rPr>
        <w:t xml:space="preserve"> </w:t>
      </w:r>
      <w:r w:rsidRPr="00045F34">
        <w:rPr>
          <w:lang w:val="it-IT"/>
        </w:rPr>
        <w:t>all’esercizio</w:t>
      </w:r>
      <w:r w:rsidRPr="00045F34">
        <w:rPr>
          <w:spacing w:val="-4"/>
          <w:lang w:val="it-IT"/>
        </w:rPr>
        <w:t xml:space="preserve"> </w:t>
      </w:r>
      <w:r w:rsidRPr="00045F34">
        <w:rPr>
          <w:lang w:val="it-IT"/>
        </w:rPr>
        <w:t>delle funzioni</w:t>
      </w:r>
      <w:r w:rsidRPr="00045F34">
        <w:rPr>
          <w:spacing w:val="-13"/>
          <w:lang w:val="it-IT"/>
        </w:rPr>
        <w:t xml:space="preserve"> </w:t>
      </w:r>
      <w:r w:rsidRPr="00045F34">
        <w:rPr>
          <w:lang w:val="it-IT"/>
        </w:rPr>
        <w:t>affidate</w:t>
      </w:r>
      <w:r w:rsidRPr="00045F34">
        <w:rPr>
          <w:spacing w:val="-13"/>
          <w:lang w:val="it-IT"/>
        </w:rPr>
        <w:t xml:space="preserve"> </w:t>
      </w:r>
      <w:r w:rsidRPr="00045F34">
        <w:rPr>
          <w:lang w:val="it-IT"/>
        </w:rPr>
        <w:t>all’ISTAT</w:t>
      </w:r>
      <w:r w:rsidRPr="00045F34">
        <w:rPr>
          <w:spacing w:val="-16"/>
          <w:lang w:val="it-IT"/>
        </w:rPr>
        <w:t xml:space="preserve"> </w:t>
      </w:r>
      <w:r w:rsidRPr="00045F34">
        <w:rPr>
          <w:lang w:val="it-IT"/>
        </w:rPr>
        <w:t>(in</w:t>
      </w:r>
      <w:r w:rsidRPr="00045F34">
        <w:rPr>
          <w:spacing w:val="-16"/>
          <w:lang w:val="it-IT"/>
        </w:rPr>
        <w:t xml:space="preserve"> </w:t>
      </w:r>
      <w:r w:rsidRPr="00045F34">
        <w:rPr>
          <w:lang w:val="it-IT"/>
        </w:rPr>
        <w:t>particolare:</w:t>
      </w:r>
      <w:r w:rsidRPr="00045F34">
        <w:rPr>
          <w:spacing w:val="-18"/>
          <w:lang w:val="it-IT"/>
        </w:rPr>
        <w:t xml:space="preserve"> </w:t>
      </w:r>
      <w:r w:rsidRPr="00045F34">
        <w:rPr>
          <w:lang w:val="it-IT"/>
        </w:rPr>
        <w:t>cancellazione</w:t>
      </w:r>
      <w:r w:rsidRPr="00045F34">
        <w:rPr>
          <w:spacing w:val="-16"/>
          <w:lang w:val="it-IT"/>
        </w:rPr>
        <w:t xml:space="preserve"> </w:t>
      </w:r>
      <w:r w:rsidRPr="00045F34">
        <w:rPr>
          <w:lang w:val="it-IT"/>
        </w:rPr>
        <w:t>e</w:t>
      </w:r>
      <w:r w:rsidRPr="00045F34">
        <w:rPr>
          <w:spacing w:val="-13"/>
          <w:lang w:val="it-IT"/>
        </w:rPr>
        <w:t xml:space="preserve"> </w:t>
      </w:r>
      <w:r w:rsidRPr="00045F34">
        <w:rPr>
          <w:lang w:val="it-IT"/>
        </w:rPr>
        <w:t>revisione</w:t>
      </w:r>
      <w:r w:rsidRPr="00045F34">
        <w:rPr>
          <w:spacing w:val="-16"/>
          <w:lang w:val="it-IT"/>
        </w:rPr>
        <w:t xml:space="preserve"> </w:t>
      </w:r>
      <w:r w:rsidRPr="00045F34">
        <w:rPr>
          <w:lang w:val="it-IT"/>
        </w:rPr>
        <w:t>delle</w:t>
      </w:r>
      <w:r w:rsidRPr="00045F34">
        <w:rPr>
          <w:spacing w:val="-16"/>
          <w:lang w:val="it-IT"/>
        </w:rPr>
        <w:t xml:space="preserve"> </w:t>
      </w:r>
      <w:r w:rsidRPr="00045F34">
        <w:rPr>
          <w:lang w:val="it-IT"/>
        </w:rPr>
        <w:t>anagrafi</w:t>
      </w:r>
      <w:r w:rsidRPr="00045F34">
        <w:rPr>
          <w:spacing w:val="-16"/>
          <w:lang w:val="it-IT"/>
        </w:rPr>
        <w:t xml:space="preserve"> </w:t>
      </w:r>
      <w:r w:rsidRPr="00045F34">
        <w:rPr>
          <w:lang w:val="it-IT"/>
        </w:rPr>
        <w:t>sulla</w:t>
      </w:r>
      <w:r w:rsidRPr="00045F34">
        <w:rPr>
          <w:spacing w:val="-18"/>
          <w:lang w:val="it-IT"/>
        </w:rPr>
        <w:t xml:space="preserve"> </w:t>
      </w:r>
      <w:r w:rsidRPr="00045F34">
        <w:rPr>
          <w:lang w:val="it-IT"/>
        </w:rPr>
        <w:t xml:space="preserve">base delle risultanze censuarie, da un lato, e vigilanza anagrafica, dall’altro). Questa riforma, nell’ottica dell’efficiente integrazione tra censimento della popolazione e anagrafe, mira ad adeguare la disciplina anagrafica all’avvenuta introduzione del censimento permanente </w:t>
      </w:r>
      <w:r w:rsidRPr="00045F34">
        <w:rPr>
          <w:lang w:val="it-IT"/>
        </w:rPr>
        <w:lastRenderedPageBreak/>
        <w:t>della popolazione e, più in generale, all’evoluzione delle tecniche e delle fonti informative disponibili, tenendo conto delle funzionalità e delle caratteristiche tecniche dell’ANPR e della digitalizzazione dei servizi</w:t>
      </w:r>
      <w:r w:rsidRPr="00045F34">
        <w:rPr>
          <w:spacing w:val="-6"/>
          <w:lang w:val="it-IT"/>
        </w:rPr>
        <w:t xml:space="preserve"> </w:t>
      </w:r>
      <w:r w:rsidRPr="00045F34">
        <w:rPr>
          <w:lang w:val="it-IT"/>
        </w:rPr>
        <w:t>anagrafici.</w:t>
      </w:r>
    </w:p>
    <w:p w14:paraId="71D24815" w14:textId="77777777" w:rsidR="001D5693" w:rsidRDefault="001D5693">
      <w:pPr>
        <w:jc w:val="both"/>
        <w:rPr>
          <w:lang w:val="it-IT"/>
        </w:rPr>
      </w:pPr>
    </w:p>
    <w:p w14:paraId="2B243601" w14:textId="77777777" w:rsidR="004C7D3E" w:rsidRPr="004C7D3E" w:rsidRDefault="004C7D3E">
      <w:pPr>
        <w:jc w:val="both"/>
        <w:rPr>
          <w:b/>
          <w:color w:val="4B93D8"/>
          <w:lang w:val="it-IT"/>
        </w:rPr>
      </w:pPr>
    </w:p>
    <w:p w14:paraId="27389F41" w14:textId="77777777" w:rsidR="004C7D3E" w:rsidRPr="004C7D3E" w:rsidRDefault="004C7D3E" w:rsidP="004C7D3E">
      <w:pPr>
        <w:pStyle w:val="Paragrafoelenco"/>
        <w:numPr>
          <w:ilvl w:val="0"/>
          <w:numId w:val="4"/>
        </w:numPr>
        <w:rPr>
          <w:b/>
          <w:color w:val="4B93D8"/>
          <w:lang w:val="it-IT"/>
        </w:rPr>
      </w:pPr>
      <w:r w:rsidRPr="004C7D3E">
        <w:rPr>
          <w:b/>
          <w:color w:val="4B93D8"/>
          <w:lang w:val="it-IT"/>
        </w:rPr>
        <w:t>Registrazione di simboli politici come marchio d’impresa</w:t>
      </w:r>
      <w:r>
        <w:rPr>
          <w:b/>
          <w:color w:val="4B93D8"/>
          <w:lang w:val="it-IT"/>
        </w:rPr>
        <w:t xml:space="preserve"> (</w:t>
      </w:r>
      <w:r w:rsidRPr="004C7D3E">
        <w:rPr>
          <w:b/>
          <w:color w:val="4B93D8"/>
          <w:lang w:val="it-IT"/>
        </w:rPr>
        <w:t>Art</w:t>
      </w:r>
      <w:r>
        <w:rPr>
          <w:b/>
          <w:color w:val="4B93D8"/>
          <w:lang w:val="it-IT"/>
        </w:rPr>
        <w:t>.</w:t>
      </w:r>
      <w:r w:rsidRPr="004C7D3E">
        <w:rPr>
          <w:b/>
          <w:color w:val="4B93D8"/>
          <w:lang w:val="it-IT"/>
        </w:rPr>
        <w:t xml:space="preserve"> 2-bis</w:t>
      </w:r>
      <w:r>
        <w:rPr>
          <w:b/>
          <w:color w:val="4B93D8"/>
          <w:lang w:val="it-IT"/>
        </w:rPr>
        <w:t>)</w:t>
      </w:r>
    </w:p>
    <w:p w14:paraId="424240C1" w14:textId="77777777" w:rsidR="004C7D3E" w:rsidRDefault="004C7D3E">
      <w:pPr>
        <w:jc w:val="both"/>
        <w:rPr>
          <w:lang w:val="it-IT"/>
        </w:rPr>
      </w:pPr>
      <w:r>
        <w:rPr>
          <w:lang w:val="it-IT"/>
        </w:rPr>
        <w:t>La norma</w:t>
      </w:r>
      <w:r w:rsidR="00764763">
        <w:rPr>
          <w:lang w:val="it-IT"/>
        </w:rPr>
        <w:t xml:space="preserve"> in commento</w:t>
      </w:r>
      <w:r w:rsidRPr="004C7D3E">
        <w:rPr>
          <w:lang w:val="it-IT"/>
        </w:rPr>
        <w:t>, introdott</w:t>
      </w:r>
      <w:r>
        <w:rPr>
          <w:lang w:val="it-IT"/>
        </w:rPr>
        <w:t>a durante l’esame in Senato,</w:t>
      </w:r>
      <w:r w:rsidRPr="004C7D3E">
        <w:rPr>
          <w:lang w:val="it-IT"/>
        </w:rPr>
        <w:t xml:space="preserve"> prevede che la registrazione come marchio d’impresa di simboli o emblemi usati in campo politico, o di marchi comunque contenenti parole, figure o segni con significazione politica, non rileva ai fini della disciplina elettorale, ed in particolare ai fini della disciplina del deposito dei contrassegni e delle liste nonché della propaganda elettorale.</w:t>
      </w:r>
    </w:p>
    <w:p w14:paraId="02BAF22D" w14:textId="77777777" w:rsidR="004C7D3E" w:rsidRDefault="004C7D3E">
      <w:pPr>
        <w:jc w:val="both"/>
        <w:rPr>
          <w:lang w:val="it-IT"/>
        </w:rPr>
      </w:pPr>
    </w:p>
    <w:p w14:paraId="58E95574" w14:textId="77777777" w:rsidR="001D5693" w:rsidRPr="00045F34" w:rsidRDefault="001D5693">
      <w:pPr>
        <w:pStyle w:val="Corpotesto"/>
        <w:ind w:left="0"/>
        <w:rPr>
          <w:sz w:val="20"/>
          <w:lang w:val="it-IT"/>
        </w:rPr>
      </w:pPr>
    </w:p>
    <w:p w14:paraId="0A802A53" w14:textId="77777777" w:rsidR="001D5693" w:rsidRPr="00045F34" w:rsidRDefault="000537AF">
      <w:pPr>
        <w:pStyle w:val="Paragrafoelenco"/>
        <w:numPr>
          <w:ilvl w:val="1"/>
          <w:numId w:val="2"/>
        </w:numPr>
        <w:tabs>
          <w:tab w:val="left" w:pos="833"/>
        </w:tabs>
        <w:spacing w:before="101"/>
        <w:ind w:right="113"/>
        <w:rPr>
          <w:b/>
          <w:lang w:val="it-IT"/>
        </w:rPr>
      </w:pPr>
      <w:r w:rsidRPr="00045F34">
        <w:rPr>
          <w:b/>
          <w:color w:val="4B93D8"/>
          <w:lang w:val="it-IT"/>
        </w:rPr>
        <w:t>Norme elettorali applicabili ai capoluoghi di provincia e relativa denominazione (Art.</w:t>
      </w:r>
      <w:r w:rsidRPr="00045F34">
        <w:rPr>
          <w:b/>
          <w:color w:val="4B93D8"/>
          <w:spacing w:val="-4"/>
          <w:lang w:val="it-IT"/>
        </w:rPr>
        <w:t xml:space="preserve"> </w:t>
      </w:r>
      <w:r w:rsidRPr="00045F34">
        <w:rPr>
          <w:b/>
          <w:color w:val="4B93D8"/>
          <w:lang w:val="it-IT"/>
        </w:rPr>
        <w:t>3)</w:t>
      </w:r>
    </w:p>
    <w:p w14:paraId="71E45AD6" w14:textId="77777777" w:rsidR="001D5693" w:rsidRPr="00045F34" w:rsidRDefault="000537AF">
      <w:pPr>
        <w:pStyle w:val="Corpotesto"/>
        <w:spacing w:before="2"/>
        <w:ind w:right="108"/>
        <w:jc w:val="both"/>
        <w:rPr>
          <w:lang w:val="it-IT"/>
        </w:rPr>
      </w:pPr>
      <w:r w:rsidRPr="00045F34">
        <w:rPr>
          <w:lang w:val="it-IT"/>
        </w:rPr>
        <w:t xml:space="preserve">La norma </w:t>
      </w:r>
      <w:r w:rsidR="00764763">
        <w:rPr>
          <w:lang w:val="it-IT"/>
        </w:rPr>
        <w:t xml:space="preserve">in commento </w:t>
      </w:r>
      <w:r w:rsidRPr="00045F34">
        <w:rPr>
          <w:lang w:val="it-IT"/>
        </w:rPr>
        <w:t>intende garantire uniformità in tutto il territorio nazionale sia in ordine alla determinazione dei capoluoghi di provincia, evitando che sia lasciata alla mera discrezionalità delle amministrazioni provinciali, sia con riferimento al sistema elettorale agli stessi applicabile.</w:t>
      </w:r>
    </w:p>
    <w:p w14:paraId="607DB5C8" w14:textId="77777777" w:rsidR="001D5693" w:rsidRPr="00045F34" w:rsidRDefault="000537AF">
      <w:pPr>
        <w:pStyle w:val="Corpotesto"/>
        <w:ind w:right="108"/>
        <w:jc w:val="both"/>
        <w:rPr>
          <w:lang w:val="it-IT"/>
        </w:rPr>
      </w:pPr>
      <w:r w:rsidRPr="00045F34">
        <w:rPr>
          <w:lang w:val="it-IT"/>
        </w:rPr>
        <w:t>Dispone dunque che il sistema elettorale applicabile a tutti i Comuni capoluoghi di provincia, indipendentemente dal relativo numero di abitanti, è quello previsto dagli articoli 72 e 73 del TUEL per i Comuni con popolazione superiore a 15.000 abitanti. In base</w:t>
      </w:r>
      <w:r w:rsidRPr="00045F34">
        <w:rPr>
          <w:spacing w:val="-12"/>
          <w:lang w:val="it-IT"/>
        </w:rPr>
        <w:t xml:space="preserve"> </w:t>
      </w:r>
      <w:r w:rsidRPr="00045F34">
        <w:rPr>
          <w:lang w:val="it-IT"/>
        </w:rPr>
        <w:t>a</w:t>
      </w:r>
      <w:r w:rsidRPr="00045F34">
        <w:rPr>
          <w:spacing w:val="-11"/>
          <w:lang w:val="it-IT"/>
        </w:rPr>
        <w:t xml:space="preserve"> </w:t>
      </w:r>
      <w:r w:rsidRPr="00045F34">
        <w:rPr>
          <w:lang w:val="it-IT"/>
        </w:rPr>
        <w:t>tale</w:t>
      </w:r>
      <w:r w:rsidRPr="00045F34">
        <w:rPr>
          <w:spacing w:val="-11"/>
          <w:lang w:val="it-IT"/>
        </w:rPr>
        <w:t xml:space="preserve"> </w:t>
      </w:r>
      <w:r w:rsidRPr="00045F34">
        <w:rPr>
          <w:lang w:val="it-IT"/>
        </w:rPr>
        <w:t>sistema,</w:t>
      </w:r>
      <w:r w:rsidRPr="00045F34">
        <w:rPr>
          <w:spacing w:val="-11"/>
          <w:lang w:val="it-IT"/>
        </w:rPr>
        <w:t xml:space="preserve"> </w:t>
      </w:r>
      <w:r w:rsidRPr="00045F34">
        <w:rPr>
          <w:lang w:val="it-IT"/>
        </w:rPr>
        <w:t>il</w:t>
      </w:r>
      <w:r w:rsidRPr="00045F34">
        <w:rPr>
          <w:spacing w:val="-9"/>
          <w:lang w:val="it-IT"/>
        </w:rPr>
        <w:t xml:space="preserve"> </w:t>
      </w:r>
      <w:r w:rsidRPr="00045F34">
        <w:rPr>
          <w:lang w:val="it-IT"/>
        </w:rPr>
        <w:t>consiglio</w:t>
      </w:r>
      <w:r w:rsidRPr="00045F34">
        <w:rPr>
          <w:spacing w:val="-11"/>
          <w:lang w:val="it-IT"/>
        </w:rPr>
        <w:t xml:space="preserve"> </w:t>
      </w:r>
      <w:r w:rsidRPr="00045F34">
        <w:rPr>
          <w:lang w:val="it-IT"/>
        </w:rPr>
        <w:t>comunale</w:t>
      </w:r>
      <w:r w:rsidRPr="00045F34">
        <w:rPr>
          <w:spacing w:val="-11"/>
          <w:lang w:val="it-IT"/>
        </w:rPr>
        <w:t xml:space="preserve"> </w:t>
      </w:r>
      <w:r w:rsidRPr="00045F34">
        <w:rPr>
          <w:lang w:val="it-IT"/>
        </w:rPr>
        <w:t>è</w:t>
      </w:r>
      <w:r w:rsidRPr="00045F34">
        <w:rPr>
          <w:spacing w:val="-9"/>
          <w:lang w:val="it-IT"/>
        </w:rPr>
        <w:t xml:space="preserve"> </w:t>
      </w:r>
      <w:r w:rsidRPr="00045F34">
        <w:rPr>
          <w:lang w:val="it-IT"/>
        </w:rPr>
        <w:t>eletto</w:t>
      </w:r>
      <w:r w:rsidRPr="00045F34">
        <w:rPr>
          <w:spacing w:val="-9"/>
          <w:lang w:val="it-IT"/>
        </w:rPr>
        <w:t xml:space="preserve"> </w:t>
      </w:r>
      <w:r w:rsidRPr="00045F34">
        <w:rPr>
          <w:lang w:val="it-IT"/>
        </w:rPr>
        <w:t>con</w:t>
      </w:r>
      <w:r w:rsidRPr="00045F34">
        <w:rPr>
          <w:spacing w:val="-11"/>
          <w:lang w:val="it-IT"/>
        </w:rPr>
        <w:t xml:space="preserve"> </w:t>
      </w:r>
      <w:r w:rsidRPr="00045F34">
        <w:rPr>
          <w:lang w:val="it-IT"/>
        </w:rPr>
        <w:t>metodo</w:t>
      </w:r>
      <w:r w:rsidRPr="00045F34">
        <w:rPr>
          <w:spacing w:val="-9"/>
          <w:lang w:val="it-IT"/>
        </w:rPr>
        <w:t xml:space="preserve"> </w:t>
      </w:r>
      <w:r w:rsidRPr="00045F34">
        <w:rPr>
          <w:lang w:val="it-IT"/>
        </w:rPr>
        <w:t>proporzionale</w:t>
      </w:r>
      <w:r w:rsidRPr="00045F34">
        <w:rPr>
          <w:spacing w:val="-11"/>
          <w:lang w:val="it-IT"/>
        </w:rPr>
        <w:t xml:space="preserve"> </w:t>
      </w:r>
      <w:r w:rsidRPr="00045F34">
        <w:rPr>
          <w:lang w:val="it-IT"/>
        </w:rPr>
        <w:t>e</w:t>
      </w:r>
      <w:r w:rsidRPr="00045F34">
        <w:rPr>
          <w:spacing w:val="-11"/>
          <w:lang w:val="it-IT"/>
        </w:rPr>
        <w:t xml:space="preserve"> </w:t>
      </w:r>
      <w:r w:rsidRPr="00045F34">
        <w:rPr>
          <w:lang w:val="it-IT"/>
        </w:rPr>
        <w:t>per</w:t>
      </w:r>
      <w:r w:rsidRPr="00045F34">
        <w:rPr>
          <w:spacing w:val="-13"/>
          <w:lang w:val="it-IT"/>
        </w:rPr>
        <w:t xml:space="preserve"> </w:t>
      </w:r>
      <w:r w:rsidRPr="00045F34">
        <w:rPr>
          <w:lang w:val="it-IT"/>
        </w:rPr>
        <w:t>l’elezione del sindaco si fa luogo a un turno di ballottaggio, ove nessun candidato abbia ottenuto al primo turno la maggioranza assoluta dei</w:t>
      </w:r>
      <w:r w:rsidRPr="00045F34">
        <w:rPr>
          <w:spacing w:val="-7"/>
          <w:lang w:val="it-IT"/>
        </w:rPr>
        <w:t xml:space="preserve"> </w:t>
      </w:r>
      <w:r w:rsidRPr="00045F34">
        <w:rPr>
          <w:lang w:val="it-IT"/>
        </w:rPr>
        <w:t>voti.</w:t>
      </w:r>
    </w:p>
    <w:p w14:paraId="51B3A52D" w14:textId="77777777" w:rsidR="001D5693" w:rsidRDefault="00357B9C">
      <w:pPr>
        <w:pStyle w:val="Corpotesto"/>
        <w:ind w:right="111"/>
        <w:jc w:val="both"/>
        <w:rPr>
          <w:lang w:val="it-IT"/>
        </w:rPr>
      </w:pPr>
      <w:r>
        <w:rPr>
          <w:lang w:val="it-IT"/>
        </w:rPr>
        <w:t>La norma</w:t>
      </w:r>
      <w:r w:rsidR="000537AF" w:rsidRPr="00045F34">
        <w:rPr>
          <w:spacing w:val="-2"/>
          <w:lang w:val="it-IT"/>
        </w:rPr>
        <w:t xml:space="preserve"> </w:t>
      </w:r>
      <w:r w:rsidR="000537AF" w:rsidRPr="00045F34">
        <w:rPr>
          <w:lang w:val="it-IT"/>
        </w:rPr>
        <w:t>introduce</w:t>
      </w:r>
      <w:r>
        <w:rPr>
          <w:lang w:val="it-IT"/>
        </w:rPr>
        <w:t xml:space="preserve"> altresì</w:t>
      </w:r>
      <w:r w:rsidR="000537AF" w:rsidRPr="00045F34">
        <w:rPr>
          <w:spacing w:val="-7"/>
          <w:lang w:val="it-IT"/>
        </w:rPr>
        <w:t xml:space="preserve"> </w:t>
      </w:r>
      <w:r w:rsidR="000537AF" w:rsidRPr="00045F34">
        <w:rPr>
          <w:lang w:val="it-IT"/>
        </w:rPr>
        <w:t>una</w:t>
      </w:r>
      <w:r w:rsidR="000537AF" w:rsidRPr="00045F34">
        <w:rPr>
          <w:spacing w:val="-6"/>
          <w:lang w:val="it-IT"/>
        </w:rPr>
        <w:t xml:space="preserve"> </w:t>
      </w:r>
      <w:r w:rsidR="000537AF" w:rsidRPr="00045F34">
        <w:rPr>
          <w:lang w:val="it-IT"/>
        </w:rPr>
        <w:t>riserva</w:t>
      </w:r>
      <w:r w:rsidR="000537AF" w:rsidRPr="00045F34">
        <w:rPr>
          <w:spacing w:val="-5"/>
          <w:lang w:val="it-IT"/>
        </w:rPr>
        <w:t xml:space="preserve"> </w:t>
      </w:r>
      <w:r w:rsidR="000537AF" w:rsidRPr="00045F34">
        <w:rPr>
          <w:lang w:val="it-IT"/>
        </w:rPr>
        <w:t>di</w:t>
      </w:r>
      <w:r w:rsidR="000537AF" w:rsidRPr="00045F34">
        <w:rPr>
          <w:spacing w:val="-2"/>
          <w:lang w:val="it-IT"/>
        </w:rPr>
        <w:t xml:space="preserve"> </w:t>
      </w:r>
      <w:r w:rsidR="000537AF" w:rsidRPr="00045F34">
        <w:rPr>
          <w:lang w:val="it-IT"/>
        </w:rPr>
        <w:t>legge</w:t>
      </w:r>
      <w:r w:rsidR="000537AF" w:rsidRPr="00045F34">
        <w:rPr>
          <w:spacing w:val="-2"/>
          <w:lang w:val="it-IT"/>
        </w:rPr>
        <w:t xml:space="preserve"> </w:t>
      </w:r>
      <w:r w:rsidR="000537AF" w:rsidRPr="00045F34">
        <w:rPr>
          <w:lang w:val="it-IT"/>
        </w:rPr>
        <w:t>statale</w:t>
      </w:r>
      <w:r w:rsidR="000537AF" w:rsidRPr="00045F34">
        <w:rPr>
          <w:spacing w:val="-2"/>
          <w:lang w:val="it-IT"/>
        </w:rPr>
        <w:t xml:space="preserve"> </w:t>
      </w:r>
      <w:r w:rsidR="000537AF" w:rsidRPr="00045F34">
        <w:rPr>
          <w:lang w:val="it-IT"/>
        </w:rPr>
        <w:t>in</w:t>
      </w:r>
      <w:r w:rsidR="000537AF" w:rsidRPr="00045F34">
        <w:rPr>
          <w:spacing w:val="-6"/>
          <w:lang w:val="it-IT"/>
        </w:rPr>
        <w:t xml:space="preserve"> </w:t>
      </w:r>
      <w:r w:rsidR="000537AF" w:rsidRPr="00045F34">
        <w:rPr>
          <w:lang w:val="it-IT"/>
        </w:rPr>
        <w:t>merito</w:t>
      </w:r>
      <w:r w:rsidR="000537AF" w:rsidRPr="00045F34">
        <w:rPr>
          <w:spacing w:val="-2"/>
          <w:lang w:val="it-IT"/>
        </w:rPr>
        <w:t xml:space="preserve"> </w:t>
      </w:r>
      <w:r w:rsidR="000537AF" w:rsidRPr="00045F34">
        <w:rPr>
          <w:lang w:val="it-IT"/>
        </w:rPr>
        <w:t>alla</w:t>
      </w:r>
      <w:r w:rsidR="000537AF" w:rsidRPr="00045F34">
        <w:rPr>
          <w:spacing w:val="-5"/>
          <w:lang w:val="it-IT"/>
        </w:rPr>
        <w:t xml:space="preserve"> </w:t>
      </w:r>
      <w:r w:rsidR="000537AF" w:rsidRPr="00045F34">
        <w:rPr>
          <w:lang w:val="it-IT"/>
        </w:rPr>
        <w:t>individuazione</w:t>
      </w:r>
      <w:r w:rsidR="000537AF" w:rsidRPr="00045F34">
        <w:rPr>
          <w:spacing w:val="-5"/>
          <w:lang w:val="it-IT"/>
        </w:rPr>
        <w:t xml:space="preserve"> </w:t>
      </w:r>
      <w:r w:rsidR="000537AF" w:rsidRPr="00045F34">
        <w:rPr>
          <w:lang w:val="it-IT"/>
        </w:rPr>
        <w:t>dei</w:t>
      </w:r>
      <w:r w:rsidR="000537AF" w:rsidRPr="00045F34">
        <w:rPr>
          <w:spacing w:val="-2"/>
          <w:lang w:val="it-IT"/>
        </w:rPr>
        <w:t xml:space="preserve"> </w:t>
      </w:r>
      <w:r w:rsidR="000537AF" w:rsidRPr="00045F34">
        <w:rPr>
          <w:lang w:val="it-IT"/>
        </w:rPr>
        <w:t xml:space="preserve">predetti capoluoghi, escludendo al riguardo la competenza statutaria. </w:t>
      </w:r>
      <w:r>
        <w:rPr>
          <w:lang w:val="it-IT"/>
        </w:rPr>
        <w:t>Infine</w:t>
      </w:r>
      <w:r w:rsidR="000537AF" w:rsidRPr="00045F34">
        <w:rPr>
          <w:lang w:val="it-IT"/>
        </w:rPr>
        <w:t xml:space="preserve"> disciplina l’ipotesi in cui la denominazione della provincia sia costituita dal nome di più Comuni, stabilendo che in tal caso il capoluogo è individuato in ciascuno dei Comuni</w:t>
      </w:r>
      <w:r w:rsidR="000537AF" w:rsidRPr="00045F34">
        <w:rPr>
          <w:spacing w:val="-14"/>
          <w:lang w:val="it-IT"/>
        </w:rPr>
        <w:t xml:space="preserve"> </w:t>
      </w:r>
      <w:r w:rsidR="000537AF" w:rsidRPr="00045F34">
        <w:rPr>
          <w:lang w:val="it-IT"/>
        </w:rPr>
        <w:t>medesimi.</w:t>
      </w:r>
    </w:p>
    <w:p w14:paraId="73D4A249" w14:textId="77777777" w:rsidR="000537AF" w:rsidRPr="00045F34" w:rsidRDefault="000537AF">
      <w:pPr>
        <w:pStyle w:val="Corpotesto"/>
        <w:ind w:right="111"/>
        <w:jc w:val="both"/>
        <w:rPr>
          <w:lang w:val="it-IT"/>
        </w:rPr>
      </w:pPr>
    </w:p>
    <w:p w14:paraId="3F62BCC9" w14:textId="77777777" w:rsidR="001D5693" w:rsidRPr="00045F34" w:rsidRDefault="001D5693">
      <w:pPr>
        <w:pStyle w:val="Corpotesto"/>
        <w:ind w:left="0"/>
        <w:rPr>
          <w:lang w:val="it-IT"/>
        </w:rPr>
      </w:pPr>
    </w:p>
    <w:p w14:paraId="49F14502" w14:textId="77777777" w:rsidR="001D5693" w:rsidRPr="00045F34" w:rsidRDefault="000537AF">
      <w:pPr>
        <w:pStyle w:val="Paragrafoelenco"/>
        <w:numPr>
          <w:ilvl w:val="1"/>
          <w:numId w:val="2"/>
        </w:numPr>
        <w:tabs>
          <w:tab w:val="left" w:pos="833"/>
        </w:tabs>
        <w:ind w:right="112"/>
        <w:jc w:val="left"/>
        <w:rPr>
          <w:b/>
          <w:lang w:val="it-IT"/>
        </w:rPr>
      </w:pPr>
      <w:r w:rsidRPr="00045F34">
        <w:rPr>
          <w:b/>
          <w:color w:val="4B93D8"/>
          <w:lang w:val="it-IT"/>
        </w:rPr>
        <w:t>Disposizioni in materia di elezione del sindaco e del consiglio comunale (Art. 4)</w:t>
      </w:r>
    </w:p>
    <w:p w14:paraId="47F13D56" w14:textId="77777777" w:rsidR="001D5693" w:rsidRDefault="000537AF" w:rsidP="001071F8">
      <w:pPr>
        <w:pStyle w:val="Corpotesto"/>
        <w:ind w:right="27"/>
        <w:jc w:val="both"/>
        <w:rPr>
          <w:lang w:val="it-IT"/>
        </w:rPr>
      </w:pPr>
      <w:r w:rsidRPr="00045F34">
        <w:rPr>
          <w:lang w:val="it-IT"/>
        </w:rPr>
        <w:t>La norma</w:t>
      </w:r>
      <w:r w:rsidR="00401BEC">
        <w:rPr>
          <w:lang w:val="it-IT"/>
        </w:rPr>
        <w:t xml:space="preserve"> in commento</w:t>
      </w:r>
      <w:r w:rsidRPr="00045F34">
        <w:rPr>
          <w:lang w:val="it-IT"/>
        </w:rPr>
        <w:t xml:space="preserve"> modifica l’articolo 51, comma 2, del TUEL </w:t>
      </w:r>
      <w:r w:rsidRPr="00045F34">
        <w:rPr>
          <w:b/>
          <w:lang w:val="it-IT"/>
        </w:rPr>
        <w:t xml:space="preserve">innalzando il limite da due a tre mandati per gli enti che si collocano nella fascia demografica da </w:t>
      </w:r>
      <w:r w:rsidR="00940C27">
        <w:rPr>
          <w:b/>
          <w:lang w:val="it-IT"/>
        </w:rPr>
        <w:t>5.001 a 15.000 abitanti ed</w:t>
      </w:r>
      <w:r w:rsidRPr="00045F34">
        <w:rPr>
          <w:b/>
          <w:lang w:val="it-IT"/>
        </w:rPr>
        <w:t xml:space="preserve"> eliminando, al contempo, ogni limite di mandato per i Comuni fino a 5.000</w:t>
      </w:r>
      <w:r w:rsidRPr="00045F34">
        <w:rPr>
          <w:b/>
          <w:spacing w:val="-2"/>
          <w:lang w:val="it-IT"/>
        </w:rPr>
        <w:t xml:space="preserve"> </w:t>
      </w:r>
      <w:r w:rsidRPr="00045F34">
        <w:rPr>
          <w:b/>
          <w:lang w:val="it-IT"/>
        </w:rPr>
        <w:t>abitanti</w:t>
      </w:r>
      <w:r w:rsidRPr="00045F34">
        <w:rPr>
          <w:lang w:val="it-IT"/>
        </w:rPr>
        <w:t>.</w:t>
      </w:r>
      <w:r w:rsidR="006D6FA5">
        <w:rPr>
          <w:lang w:val="it-IT"/>
        </w:rPr>
        <w:t xml:space="preserve"> Si riporta di seguito una tabella riepilogativa:</w:t>
      </w:r>
    </w:p>
    <w:p w14:paraId="0CCADD65" w14:textId="77777777" w:rsidR="006D6FA5" w:rsidRPr="00550AC3" w:rsidRDefault="006D6FA5" w:rsidP="006D6FA5">
      <w:pPr>
        <w:pStyle w:val="Paragrafoelenco"/>
        <w:ind w:left="720"/>
        <w:rPr>
          <w:lang w:val="it-IT"/>
        </w:rPr>
      </w:pPr>
    </w:p>
    <w:tbl>
      <w:tblPr>
        <w:tblStyle w:val="Grigliatabella"/>
        <w:tblW w:w="0" w:type="auto"/>
        <w:tblInd w:w="817" w:type="dxa"/>
        <w:tblLook w:val="04A0" w:firstRow="1" w:lastRow="0" w:firstColumn="1" w:lastColumn="0" w:noHBand="0" w:noVBand="1"/>
      </w:tblPr>
      <w:tblGrid>
        <w:gridCol w:w="3997"/>
        <w:gridCol w:w="4814"/>
      </w:tblGrid>
      <w:tr w:rsidR="006D6FA5" w:rsidRPr="00CA4DB2" w14:paraId="78CB0209" w14:textId="77777777" w:rsidTr="0060115C">
        <w:tc>
          <w:tcPr>
            <w:tcW w:w="3997" w:type="dxa"/>
          </w:tcPr>
          <w:p w14:paraId="5D9C144D" w14:textId="4A337B46" w:rsidR="00CC205C" w:rsidRPr="00CC205C" w:rsidRDefault="006D6FA5" w:rsidP="00CC205C">
            <w:pPr>
              <w:spacing w:before="240"/>
              <w:jc w:val="center"/>
              <w:rPr>
                <w:b/>
                <w:bCs/>
                <w:smallCaps/>
              </w:rPr>
            </w:pPr>
            <w:r w:rsidRPr="0095636A">
              <w:rPr>
                <w:b/>
                <w:bCs/>
                <w:smallCaps/>
              </w:rPr>
              <w:t xml:space="preserve">Fasce </w:t>
            </w:r>
            <w:r w:rsidRPr="0095636A">
              <w:rPr>
                <w:b/>
                <w:bCs/>
                <w:smallCaps/>
                <w:sz w:val="24"/>
                <w:szCs w:val="24"/>
              </w:rPr>
              <w:t>demografiche</w:t>
            </w:r>
          </w:p>
        </w:tc>
        <w:tc>
          <w:tcPr>
            <w:tcW w:w="4814" w:type="dxa"/>
          </w:tcPr>
          <w:p w14:paraId="3A9ECA7D" w14:textId="141E3BF5" w:rsidR="006D6FA5" w:rsidRPr="0095636A" w:rsidRDefault="006D6FA5" w:rsidP="00CC205C">
            <w:pPr>
              <w:spacing w:after="40"/>
              <w:jc w:val="center"/>
              <w:rPr>
                <w:b/>
                <w:bCs/>
                <w:smallCaps/>
              </w:rPr>
            </w:pPr>
            <w:r w:rsidRPr="0095636A">
              <w:rPr>
                <w:b/>
                <w:bCs/>
                <w:smallCaps/>
              </w:rPr>
              <w:t>Limiti di mandato di cui all’art. 51, comma 2 del TUEL e successive modificazioni e integrazioni</w:t>
            </w:r>
          </w:p>
        </w:tc>
      </w:tr>
      <w:tr w:rsidR="006D6FA5" w:rsidRPr="00CA4DB2" w14:paraId="0688E2DE" w14:textId="77777777" w:rsidTr="00CC205C">
        <w:trPr>
          <w:trHeight w:val="234"/>
        </w:trPr>
        <w:tc>
          <w:tcPr>
            <w:tcW w:w="3997" w:type="dxa"/>
          </w:tcPr>
          <w:p w14:paraId="1F1A114D" w14:textId="77777777" w:rsidR="006D6FA5" w:rsidRDefault="006D6FA5" w:rsidP="00CC205C">
            <w:pPr>
              <w:spacing w:before="40" w:after="40"/>
            </w:pPr>
            <w:r>
              <w:t xml:space="preserve">Comuni fino a 5.000 abitanti </w:t>
            </w:r>
          </w:p>
        </w:tc>
        <w:tc>
          <w:tcPr>
            <w:tcW w:w="4814" w:type="dxa"/>
          </w:tcPr>
          <w:p w14:paraId="6800ECCA" w14:textId="66EEE23F" w:rsidR="006D6FA5" w:rsidRDefault="006D6FA5" w:rsidP="00CC205C">
            <w:pPr>
              <w:spacing w:before="40" w:after="40"/>
            </w:pPr>
            <w:r>
              <w:t>Non si applica alcun limite di mandato</w:t>
            </w:r>
          </w:p>
        </w:tc>
      </w:tr>
      <w:tr w:rsidR="006D6FA5" w:rsidRPr="00CA4DB2" w14:paraId="05F906E0" w14:textId="77777777" w:rsidTr="0060115C">
        <w:tc>
          <w:tcPr>
            <w:tcW w:w="3997" w:type="dxa"/>
          </w:tcPr>
          <w:p w14:paraId="4C741E30" w14:textId="77777777" w:rsidR="006D6FA5" w:rsidRDefault="006D6FA5" w:rsidP="00CC205C">
            <w:pPr>
              <w:spacing w:before="40" w:after="40"/>
            </w:pPr>
            <w:r>
              <w:t>Comuni da 5.001 a 15.000 abitanti</w:t>
            </w:r>
          </w:p>
        </w:tc>
        <w:tc>
          <w:tcPr>
            <w:tcW w:w="4814" w:type="dxa"/>
          </w:tcPr>
          <w:p w14:paraId="0E810066" w14:textId="756A6639" w:rsidR="006D6FA5" w:rsidRDefault="006D6FA5" w:rsidP="00CC205C">
            <w:pPr>
              <w:spacing w:before="40" w:after="40"/>
            </w:pPr>
            <w:r>
              <w:t xml:space="preserve">Il limite di mandato si applica allo scadere del terzo mandato consecutivo </w:t>
            </w:r>
          </w:p>
        </w:tc>
      </w:tr>
      <w:tr w:rsidR="006D6FA5" w:rsidRPr="00CA4DB2" w14:paraId="55E94AA6" w14:textId="77777777" w:rsidTr="0060115C">
        <w:tc>
          <w:tcPr>
            <w:tcW w:w="3997" w:type="dxa"/>
          </w:tcPr>
          <w:p w14:paraId="3D896D3B" w14:textId="77777777" w:rsidR="006D6FA5" w:rsidRDefault="006D6FA5" w:rsidP="00CC205C">
            <w:pPr>
              <w:spacing w:before="40" w:after="40"/>
            </w:pPr>
            <w:r>
              <w:t>Comuni superiori a 15.000 abitanti</w:t>
            </w:r>
          </w:p>
        </w:tc>
        <w:tc>
          <w:tcPr>
            <w:tcW w:w="4814" w:type="dxa"/>
          </w:tcPr>
          <w:p w14:paraId="448FA63D" w14:textId="0DE082A9" w:rsidR="006D6FA5" w:rsidRDefault="006D6FA5" w:rsidP="00CC205C">
            <w:pPr>
              <w:spacing w:before="40" w:after="40"/>
            </w:pPr>
            <w:r>
              <w:t>Il limite di mandato si applica allo scadere del secondo mandato consecutivo</w:t>
            </w:r>
          </w:p>
        </w:tc>
      </w:tr>
    </w:tbl>
    <w:p w14:paraId="71E1AFFF" w14:textId="77777777" w:rsidR="001D5693" w:rsidRDefault="001D5693">
      <w:pPr>
        <w:pStyle w:val="Corpotesto"/>
        <w:spacing w:before="11"/>
        <w:ind w:left="0"/>
        <w:rPr>
          <w:sz w:val="21"/>
          <w:lang w:val="it-IT"/>
        </w:rPr>
      </w:pPr>
    </w:p>
    <w:p w14:paraId="7A29C6D7" w14:textId="77777777" w:rsidR="006D6FA5" w:rsidRDefault="006D6FA5">
      <w:pPr>
        <w:pStyle w:val="Corpotesto"/>
        <w:spacing w:before="11"/>
        <w:ind w:left="0"/>
        <w:rPr>
          <w:sz w:val="21"/>
          <w:lang w:val="it-IT"/>
        </w:rPr>
      </w:pPr>
    </w:p>
    <w:p w14:paraId="2FBE1407" w14:textId="77777777" w:rsidR="006D6FA5" w:rsidRPr="00045F34" w:rsidRDefault="006D6FA5">
      <w:pPr>
        <w:pStyle w:val="Corpotesto"/>
        <w:spacing w:before="11"/>
        <w:ind w:left="0"/>
        <w:rPr>
          <w:sz w:val="21"/>
          <w:lang w:val="it-IT"/>
        </w:rPr>
      </w:pPr>
    </w:p>
    <w:p w14:paraId="2A131601" w14:textId="77777777" w:rsidR="001D5693" w:rsidRPr="00045F34" w:rsidRDefault="00BD3FE4">
      <w:pPr>
        <w:pStyle w:val="Corpotesto"/>
        <w:ind w:right="106"/>
        <w:jc w:val="both"/>
        <w:rPr>
          <w:lang w:val="it-IT"/>
        </w:rPr>
      </w:pPr>
      <w:r>
        <w:rPr>
          <w:lang w:val="it-IT"/>
        </w:rPr>
        <w:t>I</w:t>
      </w:r>
      <w:r w:rsidR="006B5086">
        <w:rPr>
          <w:lang w:val="it-IT"/>
        </w:rPr>
        <w:t>n</w:t>
      </w:r>
      <w:r w:rsidR="000537AF" w:rsidRPr="00045F34">
        <w:rPr>
          <w:lang w:val="it-IT"/>
        </w:rPr>
        <w:t xml:space="preserve"> deroga all’articolo 71, comma 10, del TUEL </w:t>
      </w:r>
      <w:r>
        <w:rPr>
          <w:lang w:val="it-IT"/>
        </w:rPr>
        <w:t xml:space="preserve">la norma </w:t>
      </w:r>
      <w:r w:rsidR="000537AF" w:rsidRPr="00045F34">
        <w:rPr>
          <w:lang w:val="it-IT"/>
        </w:rPr>
        <w:t>dispone che</w:t>
      </w:r>
      <w:r>
        <w:rPr>
          <w:lang w:val="it-IT"/>
        </w:rPr>
        <w:t>,</w:t>
      </w:r>
      <w:r w:rsidR="000537AF" w:rsidRPr="00045F34">
        <w:rPr>
          <w:lang w:val="it-IT"/>
        </w:rPr>
        <w:t xml:space="preserve"> per l’anno 2024, per l’elezione del sindaco e del consiglio comunale nei Comuni sino a 15.000 abitanti, ove sia stata ammessa e votata una sola lista, sono eletti tutti i candidati compresi nella lista e</w:t>
      </w:r>
      <w:r w:rsidR="000537AF" w:rsidRPr="00045F34">
        <w:rPr>
          <w:spacing w:val="-12"/>
          <w:lang w:val="it-IT"/>
        </w:rPr>
        <w:t xml:space="preserve"> </w:t>
      </w:r>
      <w:r w:rsidR="000537AF" w:rsidRPr="00045F34">
        <w:rPr>
          <w:lang w:val="it-IT"/>
        </w:rPr>
        <w:t>il</w:t>
      </w:r>
      <w:r w:rsidR="000537AF" w:rsidRPr="00045F34">
        <w:rPr>
          <w:spacing w:val="-14"/>
          <w:lang w:val="it-IT"/>
        </w:rPr>
        <w:t xml:space="preserve"> </w:t>
      </w:r>
      <w:r w:rsidR="000537AF" w:rsidRPr="00045F34">
        <w:rPr>
          <w:lang w:val="it-IT"/>
        </w:rPr>
        <w:t>candidato</w:t>
      </w:r>
      <w:r w:rsidR="000537AF" w:rsidRPr="00045F34">
        <w:rPr>
          <w:spacing w:val="-11"/>
          <w:lang w:val="it-IT"/>
        </w:rPr>
        <w:t xml:space="preserve"> </w:t>
      </w:r>
      <w:r w:rsidR="000537AF" w:rsidRPr="00045F34">
        <w:rPr>
          <w:lang w:val="it-IT"/>
        </w:rPr>
        <w:t>a</w:t>
      </w:r>
      <w:r w:rsidR="000537AF" w:rsidRPr="00045F34">
        <w:rPr>
          <w:spacing w:val="-12"/>
          <w:lang w:val="it-IT"/>
        </w:rPr>
        <w:t xml:space="preserve"> </w:t>
      </w:r>
      <w:r w:rsidR="000537AF" w:rsidRPr="00045F34">
        <w:rPr>
          <w:lang w:val="it-IT"/>
        </w:rPr>
        <w:t>sindaco</w:t>
      </w:r>
      <w:r w:rsidR="000537AF" w:rsidRPr="00045F34">
        <w:rPr>
          <w:spacing w:val="-9"/>
          <w:lang w:val="it-IT"/>
        </w:rPr>
        <w:t xml:space="preserve"> </w:t>
      </w:r>
      <w:r w:rsidR="000537AF" w:rsidRPr="00045F34">
        <w:rPr>
          <w:lang w:val="it-IT"/>
        </w:rPr>
        <w:t>collegato,</w:t>
      </w:r>
      <w:r w:rsidR="000537AF" w:rsidRPr="00045F34">
        <w:rPr>
          <w:spacing w:val="-12"/>
          <w:lang w:val="it-IT"/>
        </w:rPr>
        <w:t xml:space="preserve"> </w:t>
      </w:r>
      <w:r w:rsidR="000537AF" w:rsidRPr="00045F34">
        <w:rPr>
          <w:lang w:val="it-IT"/>
        </w:rPr>
        <w:t>purché</w:t>
      </w:r>
      <w:r w:rsidR="000537AF" w:rsidRPr="00045F34">
        <w:rPr>
          <w:spacing w:val="-13"/>
          <w:lang w:val="it-IT"/>
        </w:rPr>
        <w:t xml:space="preserve"> </w:t>
      </w:r>
      <w:r w:rsidR="000537AF" w:rsidRPr="00045F34">
        <w:rPr>
          <w:lang w:val="it-IT"/>
        </w:rPr>
        <w:t>essa</w:t>
      </w:r>
      <w:r w:rsidR="000537AF" w:rsidRPr="00045F34">
        <w:rPr>
          <w:spacing w:val="-12"/>
          <w:lang w:val="it-IT"/>
        </w:rPr>
        <w:t xml:space="preserve"> </w:t>
      </w:r>
      <w:r w:rsidR="000537AF" w:rsidRPr="00045F34">
        <w:rPr>
          <w:lang w:val="it-IT"/>
        </w:rPr>
        <w:t>abbia</w:t>
      </w:r>
      <w:r w:rsidR="000537AF" w:rsidRPr="00045F34">
        <w:rPr>
          <w:spacing w:val="-12"/>
          <w:lang w:val="it-IT"/>
        </w:rPr>
        <w:t xml:space="preserve"> </w:t>
      </w:r>
      <w:r w:rsidR="000537AF" w:rsidRPr="00045F34">
        <w:rPr>
          <w:lang w:val="it-IT"/>
        </w:rPr>
        <w:t>riportato</w:t>
      </w:r>
      <w:r w:rsidR="000537AF" w:rsidRPr="00045F34">
        <w:rPr>
          <w:spacing w:val="-9"/>
          <w:lang w:val="it-IT"/>
        </w:rPr>
        <w:t xml:space="preserve"> </w:t>
      </w:r>
      <w:r w:rsidR="000537AF" w:rsidRPr="00045F34">
        <w:rPr>
          <w:lang w:val="it-IT"/>
        </w:rPr>
        <w:t>un</w:t>
      </w:r>
      <w:r w:rsidR="000537AF" w:rsidRPr="00045F34">
        <w:rPr>
          <w:spacing w:val="-12"/>
          <w:lang w:val="it-IT"/>
        </w:rPr>
        <w:t xml:space="preserve"> </w:t>
      </w:r>
      <w:r w:rsidR="000537AF" w:rsidRPr="00045F34">
        <w:rPr>
          <w:lang w:val="it-IT"/>
        </w:rPr>
        <w:t>numero</w:t>
      </w:r>
      <w:r w:rsidR="000537AF" w:rsidRPr="00045F34">
        <w:rPr>
          <w:spacing w:val="-11"/>
          <w:lang w:val="it-IT"/>
        </w:rPr>
        <w:t xml:space="preserve"> </w:t>
      </w:r>
      <w:r w:rsidR="000537AF" w:rsidRPr="00045F34">
        <w:rPr>
          <w:lang w:val="it-IT"/>
        </w:rPr>
        <w:t>di</w:t>
      </w:r>
      <w:r w:rsidR="000537AF" w:rsidRPr="00045F34">
        <w:rPr>
          <w:spacing w:val="-10"/>
          <w:lang w:val="it-IT"/>
        </w:rPr>
        <w:t xml:space="preserve"> </w:t>
      </w:r>
      <w:r w:rsidR="000537AF" w:rsidRPr="00045F34">
        <w:rPr>
          <w:lang w:val="it-IT"/>
        </w:rPr>
        <w:t>voti</w:t>
      </w:r>
      <w:r w:rsidR="000537AF" w:rsidRPr="00045F34">
        <w:rPr>
          <w:spacing w:val="-11"/>
          <w:lang w:val="it-IT"/>
        </w:rPr>
        <w:t xml:space="preserve"> </w:t>
      </w:r>
      <w:r w:rsidR="000537AF" w:rsidRPr="00045F34">
        <w:rPr>
          <w:lang w:val="it-IT"/>
        </w:rPr>
        <w:t>validi</w:t>
      </w:r>
      <w:r w:rsidR="000537AF" w:rsidRPr="00045F34">
        <w:rPr>
          <w:spacing w:val="-14"/>
          <w:lang w:val="it-IT"/>
        </w:rPr>
        <w:t xml:space="preserve"> </w:t>
      </w:r>
      <w:r w:rsidR="000537AF" w:rsidRPr="00045F34">
        <w:rPr>
          <w:lang w:val="it-IT"/>
        </w:rPr>
        <w:t>non inferiore</w:t>
      </w:r>
      <w:r w:rsidR="000537AF" w:rsidRPr="00045F34">
        <w:rPr>
          <w:spacing w:val="-5"/>
          <w:lang w:val="it-IT"/>
        </w:rPr>
        <w:t xml:space="preserve"> </w:t>
      </w:r>
      <w:r w:rsidR="000537AF" w:rsidRPr="00045F34">
        <w:rPr>
          <w:lang w:val="it-IT"/>
        </w:rPr>
        <w:t>al</w:t>
      </w:r>
      <w:r w:rsidR="000537AF" w:rsidRPr="00045F34">
        <w:rPr>
          <w:spacing w:val="-5"/>
          <w:lang w:val="it-IT"/>
        </w:rPr>
        <w:t xml:space="preserve"> </w:t>
      </w:r>
      <w:r w:rsidR="000537AF" w:rsidRPr="00045F34">
        <w:rPr>
          <w:lang w:val="it-IT"/>
        </w:rPr>
        <w:t>50</w:t>
      </w:r>
      <w:r w:rsidR="000537AF" w:rsidRPr="00045F34">
        <w:rPr>
          <w:spacing w:val="-7"/>
          <w:lang w:val="it-IT"/>
        </w:rPr>
        <w:t xml:space="preserve"> </w:t>
      </w:r>
      <w:r w:rsidR="000537AF" w:rsidRPr="00045F34">
        <w:rPr>
          <w:lang w:val="it-IT"/>
        </w:rPr>
        <w:t>per</w:t>
      </w:r>
      <w:r w:rsidR="000537AF" w:rsidRPr="00045F34">
        <w:rPr>
          <w:spacing w:val="-9"/>
          <w:lang w:val="it-IT"/>
        </w:rPr>
        <w:t xml:space="preserve"> </w:t>
      </w:r>
      <w:r w:rsidR="000537AF" w:rsidRPr="00045F34">
        <w:rPr>
          <w:lang w:val="it-IT"/>
        </w:rPr>
        <w:t>cento</w:t>
      </w:r>
      <w:r w:rsidR="000537AF" w:rsidRPr="00045F34">
        <w:rPr>
          <w:spacing w:val="-5"/>
          <w:lang w:val="it-IT"/>
        </w:rPr>
        <w:t xml:space="preserve"> </w:t>
      </w:r>
      <w:r w:rsidR="000537AF" w:rsidRPr="00045F34">
        <w:rPr>
          <w:lang w:val="it-IT"/>
        </w:rPr>
        <w:t>dei</w:t>
      </w:r>
      <w:r w:rsidR="000537AF" w:rsidRPr="00045F34">
        <w:rPr>
          <w:spacing w:val="-5"/>
          <w:lang w:val="it-IT"/>
        </w:rPr>
        <w:t xml:space="preserve"> </w:t>
      </w:r>
      <w:r w:rsidR="000537AF" w:rsidRPr="00045F34">
        <w:rPr>
          <w:lang w:val="it-IT"/>
        </w:rPr>
        <w:t>votanti</w:t>
      </w:r>
      <w:r w:rsidR="000537AF" w:rsidRPr="00045F34">
        <w:rPr>
          <w:spacing w:val="-5"/>
          <w:lang w:val="it-IT"/>
        </w:rPr>
        <w:t xml:space="preserve"> </w:t>
      </w:r>
      <w:r w:rsidR="000537AF" w:rsidRPr="00045F34">
        <w:rPr>
          <w:lang w:val="it-IT"/>
        </w:rPr>
        <w:t>e</w:t>
      </w:r>
      <w:r w:rsidR="000537AF" w:rsidRPr="00045F34">
        <w:rPr>
          <w:spacing w:val="-5"/>
          <w:lang w:val="it-IT"/>
        </w:rPr>
        <w:t xml:space="preserve"> </w:t>
      </w:r>
      <w:r w:rsidR="000537AF" w:rsidRPr="00045F34">
        <w:rPr>
          <w:lang w:val="it-IT"/>
        </w:rPr>
        <w:t>il</w:t>
      </w:r>
      <w:r w:rsidR="000537AF" w:rsidRPr="00045F34">
        <w:rPr>
          <w:spacing w:val="-5"/>
          <w:lang w:val="it-IT"/>
        </w:rPr>
        <w:t xml:space="preserve"> </w:t>
      </w:r>
      <w:r w:rsidR="000537AF" w:rsidRPr="00045F34">
        <w:rPr>
          <w:lang w:val="it-IT"/>
        </w:rPr>
        <w:t>numero</w:t>
      </w:r>
      <w:r w:rsidR="000537AF" w:rsidRPr="00045F34">
        <w:rPr>
          <w:spacing w:val="-7"/>
          <w:lang w:val="it-IT"/>
        </w:rPr>
        <w:t xml:space="preserve"> </w:t>
      </w:r>
      <w:r w:rsidR="000537AF" w:rsidRPr="00045F34">
        <w:rPr>
          <w:lang w:val="it-IT"/>
        </w:rPr>
        <w:t>dei</w:t>
      </w:r>
      <w:r w:rsidR="000537AF" w:rsidRPr="00045F34">
        <w:rPr>
          <w:spacing w:val="-5"/>
          <w:lang w:val="it-IT"/>
        </w:rPr>
        <w:t xml:space="preserve"> </w:t>
      </w:r>
      <w:r w:rsidR="000537AF" w:rsidRPr="00045F34">
        <w:rPr>
          <w:lang w:val="it-IT"/>
        </w:rPr>
        <w:t>votanti</w:t>
      </w:r>
      <w:r w:rsidR="000537AF" w:rsidRPr="00045F34">
        <w:rPr>
          <w:spacing w:val="-5"/>
          <w:lang w:val="it-IT"/>
        </w:rPr>
        <w:t xml:space="preserve"> </w:t>
      </w:r>
      <w:r w:rsidR="000537AF" w:rsidRPr="00045F34">
        <w:rPr>
          <w:lang w:val="it-IT"/>
        </w:rPr>
        <w:t>non</w:t>
      </w:r>
      <w:r w:rsidR="000537AF" w:rsidRPr="00045F34">
        <w:rPr>
          <w:spacing w:val="-5"/>
          <w:lang w:val="it-IT"/>
        </w:rPr>
        <w:t xml:space="preserve"> </w:t>
      </w:r>
      <w:r w:rsidR="000537AF" w:rsidRPr="00045F34">
        <w:rPr>
          <w:lang w:val="it-IT"/>
        </w:rPr>
        <w:t>sia</w:t>
      </w:r>
      <w:r w:rsidR="000537AF" w:rsidRPr="00045F34">
        <w:rPr>
          <w:spacing w:val="-9"/>
          <w:lang w:val="it-IT"/>
        </w:rPr>
        <w:t xml:space="preserve"> </w:t>
      </w:r>
      <w:r w:rsidR="000537AF" w:rsidRPr="00045F34">
        <w:rPr>
          <w:lang w:val="it-IT"/>
        </w:rPr>
        <w:t>stato</w:t>
      </w:r>
      <w:r w:rsidR="000537AF" w:rsidRPr="00045F34">
        <w:rPr>
          <w:spacing w:val="-5"/>
          <w:lang w:val="it-IT"/>
        </w:rPr>
        <w:t xml:space="preserve"> </w:t>
      </w:r>
      <w:r w:rsidR="000537AF" w:rsidRPr="00045F34">
        <w:rPr>
          <w:lang w:val="it-IT"/>
        </w:rPr>
        <w:t>inferiore</w:t>
      </w:r>
      <w:r w:rsidR="000537AF" w:rsidRPr="00045F34">
        <w:rPr>
          <w:spacing w:val="-5"/>
          <w:lang w:val="it-IT"/>
        </w:rPr>
        <w:t xml:space="preserve"> </w:t>
      </w:r>
      <w:r w:rsidR="000537AF" w:rsidRPr="00045F34">
        <w:rPr>
          <w:lang w:val="it-IT"/>
        </w:rPr>
        <w:t>al</w:t>
      </w:r>
      <w:r w:rsidR="000537AF" w:rsidRPr="00045F34">
        <w:rPr>
          <w:spacing w:val="-7"/>
          <w:lang w:val="it-IT"/>
        </w:rPr>
        <w:t xml:space="preserve"> </w:t>
      </w:r>
      <w:r w:rsidR="000537AF" w:rsidRPr="00045F34">
        <w:rPr>
          <w:lang w:val="it-IT"/>
        </w:rPr>
        <w:t>40</w:t>
      </w:r>
      <w:r w:rsidR="000537AF" w:rsidRPr="00045F34">
        <w:rPr>
          <w:spacing w:val="-5"/>
          <w:lang w:val="it-IT"/>
        </w:rPr>
        <w:t xml:space="preserve"> </w:t>
      </w:r>
      <w:r w:rsidR="000537AF" w:rsidRPr="00045F34">
        <w:rPr>
          <w:lang w:val="it-IT"/>
        </w:rPr>
        <w:t xml:space="preserve">per </w:t>
      </w:r>
      <w:r w:rsidR="000537AF" w:rsidRPr="00045F34">
        <w:rPr>
          <w:lang w:val="it-IT"/>
        </w:rPr>
        <w:lastRenderedPageBreak/>
        <w:t>cento degli elettori iscritti nelle liste elettorali del</w:t>
      </w:r>
      <w:r w:rsidR="000537AF" w:rsidRPr="00045F34">
        <w:rPr>
          <w:spacing w:val="-7"/>
          <w:lang w:val="it-IT"/>
        </w:rPr>
        <w:t xml:space="preserve"> </w:t>
      </w:r>
      <w:r w:rsidR="000537AF" w:rsidRPr="00045F34">
        <w:rPr>
          <w:lang w:val="it-IT"/>
        </w:rPr>
        <w:t>Comune.</w:t>
      </w:r>
    </w:p>
    <w:p w14:paraId="393FE673" w14:textId="77777777" w:rsidR="001D5693" w:rsidRPr="00045F34" w:rsidRDefault="001D5693">
      <w:pPr>
        <w:pStyle w:val="Corpotesto"/>
        <w:ind w:left="0"/>
        <w:rPr>
          <w:lang w:val="it-IT"/>
        </w:rPr>
      </w:pPr>
    </w:p>
    <w:p w14:paraId="6378AB8F" w14:textId="77777777" w:rsidR="001D5693" w:rsidRDefault="000537AF">
      <w:pPr>
        <w:pStyle w:val="Corpotesto"/>
        <w:ind w:right="111"/>
        <w:jc w:val="both"/>
        <w:rPr>
          <w:lang w:val="it-IT"/>
        </w:rPr>
      </w:pPr>
      <w:r w:rsidRPr="00045F34">
        <w:rPr>
          <w:lang w:val="it-IT"/>
        </w:rPr>
        <w:t>Si prevede altresì che qualora non siano raggiunte tali percentuali, l’elezione è nulla e che per</w:t>
      </w:r>
      <w:r w:rsidRPr="00045F34">
        <w:rPr>
          <w:spacing w:val="-9"/>
          <w:lang w:val="it-IT"/>
        </w:rPr>
        <w:t xml:space="preserve"> </w:t>
      </w:r>
      <w:r w:rsidRPr="00045F34">
        <w:rPr>
          <w:lang w:val="it-IT"/>
        </w:rPr>
        <w:t>la</w:t>
      </w:r>
      <w:r w:rsidRPr="00045F34">
        <w:rPr>
          <w:spacing w:val="-8"/>
          <w:lang w:val="it-IT"/>
        </w:rPr>
        <w:t xml:space="preserve"> </w:t>
      </w:r>
      <w:r w:rsidRPr="00045F34">
        <w:rPr>
          <w:lang w:val="it-IT"/>
        </w:rPr>
        <w:t>determinazione</w:t>
      </w:r>
      <w:r w:rsidRPr="00045F34">
        <w:rPr>
          <w:spacing w:val="-10"/>
          <w:lang w:val="it-IT"/>
        </w:rPr>
        <w:t xml:space="preserve"> </w:t>
      </w:r>
      <w:r w:rsidRPr="00045F34">
        <w:rPr>
          <w:lang w:val="it-IT"/>
        </w:rPr>
        <w:t>del</w:t>
      </w:r>
      <w:r w:rsidRPr="00045F34">
        <w:rPr>
          <w:spacing w:val="-7"/>
          <w:lang w:val="it-IT"/>
        </w:rPr>
        <w:t xml:space="preserve"> </w:t>
      </w:r>
      <w:r w:rsidRPr="00045F34">
        <w:rPr>
          <w:lang w:val="it-IT"/>
        </w:rPr>
        <w:t>numero</w:t>
      </w:r>
      <w:r w:rsidRPr="00045F34">
        <w:rPr>
          <w:spacing w:val="-6"/>
          <w:lang w:val="it-IT"/>
        </w:rPr>
        <w:t xml:space="preserve"> </w:t>
      </w:r>
      <w:r w:rsidRPr="00045F34">
        <w:rPr>
          <w:lang w:val="it-IT"/>
        </w:rPr>
        <w:t>degli</w:t>
      </w:r>
      <w:r w:rsidRPr="00045F34">
        <w:rPr>
          <w:spacing w:val="-6"/>
          <w:lang w:val="it-IT"/>
        </w:rPr>
        <w:t xml:space="preserve"> </w:t>
      </w:r>
      <w:r w:rsidRPr="00045F34">
        <w:rPr>
          <w:lang w:val="it-IT"/>
        </w:rPr>
        <w:t>elettori</w:t>
      </w:r>
      <w:r w:rsidRPr="00045F34">
        <w:rPr>
          <w:spacing w:val="-9"/>
          <w:lang w:val="it-IT"/>
        </w:rPr>
        <w:t xml:space="preserve"> </w:t>
      </w:r>
      <w:r w:rsidRPr="00045F34">
        <w:rPr>
          <w:lang w:val="it-IT"/>
        </w:rPr>
        <w:t>iscritti</w:t>
      </w:r>
      <w:r w:rsidRPr="00045F34">
        <w:rPr>
          <w:spacing w:val="-6"/>
          <w:lang w:val="it-IT"/>
        </w:rPr>
        <w:t xml:space="preserve"> </w:t>
      </w:r>
      <w:r w:rsidRPr="00045F34">
        <w:rPr>
          <w:lang w:val="it-IT"/>
        </w:rPr>
        <w:t>nelle</w:t>
      </w:r>
      <w:r w:rsidRPr="00045F34">
        <w:rPr>
          <w:spacing w:val="-6"/>
          <w:lang w:val="it-IT"/>
        </w:rPr>
        <w:t xml:space="preserve"> </w:t>
      </w:r>
      <w:r w:rsidRPr="00045F34">
        <w:rPr>
          <w:lang w:val="it-IT"/>
        </w:rPr>
        <w:t>liste</w:t>
      </w:r>
      <w:r w:rsidRPr="00045F34">
        <w:rPr>
          <w:spacing w:val="-8"/>
          <w:lang w:val="it-IT"/>
        </w:rPr>
        <w:t xml:space="preserve"> </w:t>
      </w:r>
      <w:r w:rsidRPr="00045F34">
        <w:rPr>
          <w:lang w:val="it-IT"/>
        </w:rPr>
        <w:t>elettorali</w:t>
      </w:r>
      <w:r w:rsidRPr="00045F34">
        <w:rPr>
          <w:spacing w:val="-9"/>
          <w:lang w:val="it-IT"/>
        </w:rPr>
        <w:t xml:space="preserve"> </w:t>
      </w:r>
      <w:r w:rsidRPr="00045F34">
        <w:rPr>
          <w:lang w:val="it-IT"/>
        </w:rPr>
        <w:t>del</w:t>
      </w:r>
      <w:r w:rsidRPr="00045F34">
        <w:rPr>
          <w:spacing w:val="-8"/>
          <w:lang w:val="it-IT"/>
        </w:rPr>
        <w:t xml:space="preserve"> </w:t>
      </w:r>
      <w:r w:rsidRPr="00045F34">
        <w:rPr>
          <w:lang w:val="it-IT"/>
        </w:rPr>
        <w:t>Comune</w:t>
      </w:r>
      <w:r w:rsidRPr="00045F34">
        <w:rPr>
          <w:spacing w:val="-8"/>
          <w:lang w:val="it-IT"/>
        </w:rPr>
        <w:t xml:space="preserve"> </w:t>
      </w:r>
      <w:r w:rsidRPr="00045F34">
        <w:rPr>
          <w:lang w:val="it-IT"/>
        </w:rPr>
        <w:t>non si tiene conto degli elettori iscritti all’Anagrafe degli italiani residenti all’estero (AIRE) che non esercitano il diritto di</w:t>
      </w:r>
      <w:r w:rsidRPr="00045F34">
        <w:rPr>
          <w:spacing w:val="-3"/>
          <w:lang w:val="it-IT"/>
        </w:rPr>
        <w:t xml:space="preserve"> </w:t>
      </w:r>
      <w:r w:rsidRPr="00045F34">
        <w:rPr>
          <w:lang w:val="it-IT"/>
        </w:rPr>
        <w:t>voto.</w:t>
      </w:r>
    </w:p>
    <w:p w14:paraId="275A685D" w14:textId="77777777" w:rsidR="006B5086" w:rsidRDefault="006B5086">
      <w:pPr>
        <w:pStyle w:val="Corpotesto"/>
        <w:ind w:right="111"/>
        <w:jc w:val="both"/>
        <w:rPr>
          <w:lang w:val="it-IT"/>
        </w:rPr>
      </w:pPr>
    </w:p>
    <w:p w14:paraId="52628257" w14:textId="77777777" w:rsidR="003C3AB1" w:rsidRPr="003C3AB1" w:rsidRDefault="003C3AB1" w:rsidP="003C3AB1">
      <w:pPr>
        <w:pStyle w:val="Paragrafoelenco"/>
        <w:tabs>
          <w:tab w:val="left" w:pos="720"/>
        </w:tabs>
        <w:ind w:left="720"/>
        <w:rPr>
          <w:lang w:val="it-IT"/>
        </w:rPr>
      </w:pPr>
      <w:bookmarkStart w:id="1" w:name="_Toc156894917"/>
      <w:bookmarkStart w:id="2" w:name="_Toc158285493"/>
    </w:p>
    <w:p w14:paraId="282F132E" w14:textId="77777777" w:rsidR="00C6474C" w:rsidRPr="00C6474C" w:rsidRDefault="00C6474C" w:rsidP="00640055">
      <w:pPr>
        <w:pStyle w:val="Titolo2"/>
        <w:numPr>
          <w:ilvl w:val="0"/>
          <w:numId w:val="4"/>
        </w:numPr>
        <w:jc w:val="both"/>
        <w:rPr>
          <w:rFonts w:ascii="Bookman Old Style" w:eastAsia="Bookman Old Style" w:hAnsi="Bookman Old Style" w:cs="Bookman Old Style"/>
          <w:b/>
          <w:color w:val="4B93D8"/>
          <w:kern w:val="0"/>
          <w:sz w:val="22"/>
          <w:szCs w:val="22"/>
        </w:rPr>
      </w:pPr>
      <w:r w:rsidRPr="00C6474C">
        <w:rPr>
          <w:rFonts w:ascii="Bookman Old Style" w:eastAsia="Bookman Old Style" w:hAnsi="Bookman Old Style" w:cs="Bookman Old Style"/>
          <w:b/>
          <w:color w:val="4B93D8"/>
          <w:kern w:val="0"/>
          <w:sz w:val="22"/>
          <w:szCs w:val="22"/>
        </w:rPr>
        <w:t xml:space="preserve">Proroga </w:t>
      </w:r>
      <w:r w:rsidR="002E5B12">
        <w:rPr>
          <w:rFonts w:ascii="Bookman Old Style" w:eastAsia="Bookman Old Style" w:hAnsi="Bookman Old Style" w:cs="Bookman Old Style"/>
          <w:b/>
          <w:color w:val="4B93D8"/>
          <w:kern w:val="0"/>
          <w:sz w:val="22"/>
          <w:szCs w:val="22"/>
        </w:rPr>
        <w:t xml:space="preserve">contributo per </w:t>
      </w:r>
      <w:r w:rsidRPr="00C6474C">
        <w:rPr>
          <w:rFonts w:ascii="Bookman Old Style" w:eastAsia="Bookman Old Style" w:hAnsi="Bookman Old Style" w:cs="Bookman Old Style"/>
          <w:b/>
          <w:color w:val="4B93D8"/>
          <w:kern w:val="0"/>
          <w:sz w:val="22"/>
          <w:szCs w:val="22"/>
        </w:rPr>
        <w:t xml:space="preserve">indennità </w:t>
      </w:r>
      <w:r w:rsidR="002E5B12">
        <w:rPr>
          <w:rFonts w:ascii="Bookman Old Style" w:eastAsia="Bookman Old Style" w:hAnsi="Bookman Old Style" w:cs="Bookman Old Style"/>
          <w:b/>
          <w:color w:val="4B93D8"/>
          <w:kern w:val="0"/>
          <w:sz w:val="22"/>
          <w:szCs w:val="22"/>
        </w:rPr>
        <w:t>S</w:t>
      </w:r>
      <w:r w:rsidRPr="00C6474C">
        <w:rPr>
          <w:rFonts w:ascii="Bookman Old Style" w:eastAsia="Bookman Old Style" w:hAnsi="Bookman Old Style" w:cs="Bookman Old Style"/>
          <w:b/>
          <w:color w:val="4B93D8"/>
          <w:kern w:val="0"/>
          <w:sz w:val="22"/>
          <w:szCs w:val="22"/>
        </w:rPr>
        <w:t xml:space="preserve">indaci </w:t>
      </w:r>
      <w:r w:rsidR="00E367FC">
        <w:rPr>
          <w:rFonts w:ascii="Bookman Old Style" w:eastAsia="Bookman Old Style" w:hAnsi="Bookman Old Style" w:cs="Bookman Old Style"/>
          <w:b/>
          <w:color w:val="4B93D8"/>
          <w:kern w:val="0"/>
          <w:sz w:val="22"/>
          <w:szCs w:val="22"/>
        </w:rPr>
        <w:t>che hanno deliberato riduzione della stessa</w:t>
      </w:r>
      <w:r w:rsidRPr="00C6474C">
        <w:rPr>
          <w:rFonts w:ascii="Bookman Old Style" w:eastAsia="Bookman Old Style" w:hAnsi="Bookman Old Style" w:cs="Bookman Old Style"/>
          <w:b/>
          <w:color w:val="4B93D8"/>
          <w:kern w:val="0"/>
          <w:sz w:val="22"/>
          <w:szCs w:val="22"/>
        </w:rPr>
        <w:t xml:space="preserve"> (Art. 4, comma 2 bis)</w:t>
      </w:r>
    </w:p>
    <w:bookmarkEnd w:id="1"/>
    <w:bookmarkEnd w:id="2"/>
    <w:p w14:paraId="30FFA1CE" w14:textId="77777777" w:rsidR="00DB3121" w:rsidRPr="00E43F02" w:rsidRDefault="00FF7FE9" w:rsidP="00DB3121">
      <w:pPr>
        <w:jc w:val="both"/>
        <w:rPr>
          <w:lang w:val="it-IT"/>
        </w:rPr>
      </w:pPr>
      <w:r>
        <w:rPr>
          <w:lang w:val="it-IT"/>
        </w:rPr>
        <w:t>La norma</w:t>
      </w:r>
      <w:r w:rsidR="00357B9C">
        <w:rPr>
          <w:lang w:val="it-IT"/>
        </w:rPr>
        <w:t xml:space="preserve"> in commento</w:t>
      </w:r>
      <w:r>
        <w:rPr>
          <w:lang w:val="it-IT"/>
        </w:rPr>
        <w:t xml:space="preserve">, </w:t>
      </w:r>
      <w:r w:rsidRPr="00FF7FE9">
        <w:rPr>
          <w:b/>
          <w:bCs/>
          <w:lang w:val="it-IT"/>
        </w:rPr>
        <w:t>richiesta dall’ANCI</w:t>
      </w:r>
      <w:r>
        <w:rPr>
          <w:lang w:val="it-IT"/>
        </w:rPr>
        <w:t xml:space="preserve"> e introdotta durante l’esame in Senato</w:t>
      </w:r>
      <w:r w:rsidR="004C0E18">
        <w:rPr>
          <w:lang w:val="it-IT"/>
        </w:rPr>
        <w:t xml:space="preserve"> </w:t>
      </w:r>
      <w:r w:rsidR="008606FB" w:rsidRPr="008075DA">
        <w:rPr>
          <w:b/>
          <w:bCs/>
          <w:lang w:val="it-IT"/>
        </w:rPr>
        <w:t xml:space="preserve">proroga </w:t>
      </w:r>
      <w:r w:rsidR="008075DA" w:rsidRPr="008075DA">
        <w:rPr>
          <w:b/>
          <w:bCs/>
          <w:lang w:val="it-IT"/>
        </w:rPr>
        <w:t>fino al 31 dicembre 2025</w:t>
      </w:r>
      <w:r w:rsidR="008075DA">
        <w:rPr>
          <w:lang w:val="it-IT"/>
        </w:rPr>
        <w:t xml:space="preserve"> </w:t>
      </w:r>
      <w:r w:rsidR="008606FB">
        <w:rPr>
          <w:lang w:val="it-IT"/>
        </w:rPr>
        <w:t>il termine di cui</w:t>
      </w:r>
      <w:r w:rsidR="00BB381F">
        <w:rPr>
          <w:lang w:val="it-IT"/>
        </w:rPr>
        <w:t xml:space="preserve"> all</w:t>
      </w:r>
      <w:r w:rsidR="00770513" w:rsidRPr="00770513">
        <w:rPr>
          <w:lang w:val="it-IT"/>
        </w:rPr>
        <w:t>’art</w:t>
      </w:r>
      <w:r w:rsidR="00BB381F">
        <w:rPr>
          <w:lang w:val="it-IT"/>
        </w:rPr>
        <w:t>. 1 comma 20 ter</w:t>
      </w:r>
      <w:r w:rsidR="00770513" w:rsidRPr="00770513">
        <w:rPr>
          <w:lang w:val="it-IT"/>
        </w:rPr>
        <w:t xml:space="preserve"> del </w:t>
      </w:r>
      <w:proofErr w:type="spellStart"/>
      <w:r w:rsidR="00770513" w:rsidRPr="00770513">
        <w:rPr>
          <w:lang w:val="it-IT"/>
        </w:rPr>
        <w:t>d</w:t>
      </w:r>
      <w:r w:rsidR="00395DB5">
        <w:rPr>
          <w:lang w:val="it-IT"/>
        </w:rPr>
        <w:t>.l.</w:t>
      </w:r>
      <w:proofErr w:type="spellEnd"/>
      <w:r w:rsidR="00F843EF">
        <w:rPr>
          <w:lang w:val="it-IT"/>
        </w:rPr>
        <w:t xml:space="preserve"> 198/2022</w:t>
      </w:r>
      <w:r w:rsidR="00770513" w:rsidRPr="00E43F02">
        <w:rPr>
          <w:lang w:val="it-IT"/>
        </w:rPr>
        <w:t xml:space="preserve">. </w:t>
      </w:r>
      <w:r w:rsidR="00AE1ACB" w:rsidRPr="00E43F02">
        <w:rPr>
          <w:lang w:val="it-IT"/>
        </w:rPr>
        <w:t>Con tale proro</w:t>
      </w:r>
      <w:r w:rsidR="00395DB5" w:rsidRPr="00E43F02">
        <w:rPr>
          <w:lang w:val="it-IT"/>
        </w:rPr>
        <w:t xml:space="preserve">ga </w:t>
      </w:r>
      <w:r w:rsidR="008075DA">
        <w:rPr>
          <w:lang w:val="it-IT"/>
        </w:rPr>
        <w:t xml:space="preserve">pertanto </w:t>
      </w:r>
      <w:r w:rsidR="00E43F02">
        <w:rPr>
          <w:lang w:val="it-IT"/>
        </w:rPr>
        <w:t>continua ad esserci</w:t>
      </w:r>
      <w:r w:rsidR="00395DB5" w:rsidRPr="00E43F02">
        <w:rPr>
          <w:lang w:val="it-IT"/>
        </w:rPr>
        <w:t xml:space="preserve"> la possibilità</w:t>
      </w:r>
      <w:r w:rsidR="00491AFF">
        <w:rPr>
          <w:lang w:val="it-IT"/>
        </w:rPr>
        <w:t xml:space="preserve"> </w:t>
      </w:r>
      <w:r w:rsidR="00DB3121" w:rsidRPr="00E43F02">
        <w:rPr>
          <w:lang w:val="it-IT"/>
        </w:rPr>
        <w:t>che il contributo statale per l’indennità degli amministratori locali possa essere attribuito</w:t>
      </w:r>
      <w:r w:rsidR="003B0D26">
        <w:rPr>
          <w:lang w:val="it-IT"/>
        </w:rPr>
        <w:t>,</w:t>
      </w:r>
      <w:r w:rsidR="00DB3121" w:rsidRPr="00E43F02">
        <w:rPr>
          <w:lang w:val="it-IT"/>
        </w:rPr>
        <w:t xml:space="preserve"> </w:t>
      </w:r>
      <w:r w:rsidR="00491AFF" w:rsidRPr="003B0D26">
        <w:rPr>
          <w:b/>
          <w:bCs/>
          <w:lang w:val="it-IT"/>
        </w:rPr>
        <w:t>fino al 31 dicembre 2025</w:t>
      </w:r>
      <w:r w:rsidR="003B0D26">
        <w:rPr>
          <w:lang w:val="it-IT"/>
        </w:rPr>
        <w:t>,</w:t>
      </w:r>
      <w:r w:rsidR="00491AFF">
        <w:rPr>
          <w:lang w:val="it-IT"/>
        </w:rPr>
        <w:t xml:space="preserve"> </w:t>
      </w:r>
      <w:r w:rsidR="00DB3121" w:rsidRPr="00E43F02">
        <w:rPr>
          <w:lang w:val="it-IT"/>
        </w:rPr>
        <w:t>anche agli amministratori che abbiano deliberato una riduzione della stessa.</w:t>
      </w:r>
    </w:p>
    <w:p w14:paraId="59EF2A5C" w14:textId="77777777" w:rsidR="00AE1ACB" w:rsidRPr="00E43F02" w:rsidRDefault="00AE1ACB" w:rsidP="00DB3121">
      <w:pPr>
        <w:jc w:val="both"/>
        <w:rPr>
          <w:lang w:val="it-IT"/>
        </w:rPr>
      </w:pPr>
    </w:p>
    <w:p w14:paraId="4738F30C" w14:textId="77777777" w:rsidR="00640055" w:rsidRPr="00640055" w:rsidRDefault="00640055" w:rsidP="00640055">
      <w:pPr>
        <w:pStyle w:val="Corpotesto"/>
        <w:numPr>
          <w:ilvl w:val="0"/>
          <w:numId w:val="4"/>
        </w:numPr>
        <w:rPr>
          <w:b/>
          <w:color w:val="4B93D8"/>
          <w:lang w:val="it-IT"/>
        </w:rPr>
      </w:pPr>
      <w:r w:rsidRPr="00640055">
        <w:rPr>
          <w:b/>
          <w:color w:val="4B93D8"/>
          <w:lang w:val="it-IT"/>
        </w:rPr>
        <w:t>E</w:t>
      </w:r>
      <w:r w:rsidR="00530BC9" w:rsidRPr="00640055">
        <w:rPr>
          <w:b/>
          <w:color w:val="4B93D8"/>
          <w:lang w:val="it-IT"/>
        </w:rPr>
        <w:t>senzione dalla sottoscrizione di firme per le elezioni europee</w:t>
      </w:r>
      <w:r w:rsidRPr="00640055">
        <w:rPr>
          <w:b/>
          <w:color w:val="4B93D8"/>
          <w:lang w:val="it-IT"/>
        </w:rPr>
        <w:t xml:space="preserve"> (Art. 4 bis)</w:t>
      </w:r>
    </w:p>
    <w:p w14:paraId="6ED0F537" w14:textId="3F4C4E52" w:rsidR="006C3076" w:rsidRDefault="00640055" w:rsidP="004C0E18">
      <w:pPr>
        <w:pStyle w:val="Corpotesto"/>
        <w:ind w:left="0"/>
        <w:jc w:val="both"/>
        <w:rPr>
          <w:lang w:val="it-IT"/>
        </w:rPr>
      </w:pPr>
      <w:r>
        <w:rPr>
          <w:lang w:val="it-IT"/>
        </w:rPr>
        <w:t>La norma</w:t>
      </w:r>
      <w:r w:rsidR="00357B9C">
        <w:rPr>
          <w:lang w:val="it-IT"/>
        </w:rPr>
        <w:t xml:space="preserve"> in commento</w:t>
      </w:r>
      <w:r>
        <w:rPr>
          <w:lang w:val="it-IT"/>
        </w:rPr>
        <w:t xml:space="preserve">, introdotta durante l’esame in Senato, </w:t>
      </w:r>
      <w:r w:rsidR="00530BC9" w:rsidRPr="00530BC9">
        <w:rPr>
          <w:lang w:val="it-IT"/>
        </w:rPr>
        <w:t>riscrive la disposizione vigente in materia di esenzione di firme richieste per la presentazione di liste alle elezioni europee. L’esenzione vale per il partito che abbia ottenuto con il suo contrassegno un seggio nelle ultime elezioni europee</w:t>
      </w:r>
      <w:r w:rsidR="00CC205C">
        <w:rPr>
          <w:lang w:val="it-IT"/>
        </w:rPr>
        <w:t xml:space="preserve"> </w:t>
      </w:r>
      <w:r w:rsidR="00530BC9" w:rsidRPr="00530BC9">
        <w:rPr>
          <w:lang w:val="it-IT"/>
        </w:rPr>
        <w:t>in una circoscrizione italiana. L’esenzione diviene condizionata all’affiliazione a un partito politico europeo che sia costituito in Gruppo parlamentare al Parlamento europeo nella legislatura in corso al momento della convocazione dei comizi elettorali. Dunque</w:t>
      </w:r>
      <w:r w:rsidR="00AA352F">
        <w:rPr>
          <w:lang w:val="it-IT"/>
        </w:rPr>
        <w:t>,</w:t>
      </w:r>
      <w:r w:rsidR="00530BC9" w:rsidRPr="00530BC9">
        <w:rPr>
          <w:lang w:val="it-IT"/>
        </w:rPr>
        <w:t xml:space="preserve"> non è più sufficiente il requisito (che permane) di aver conseguito un eletto nel Parlamento europeo.</w:t>
      </w:r>
    </w:p>
    <w:p w14:paraId="615C215C" w14:textId="77777777" w:rsidR="00640055" w:rsidRDefault="00640055" w:rsidP="004C0E18">
      <w:pPr>
        <w:pStyle w:val="Corpotesto"/>
        <w:ind w:left="0"/>
        <w:jc w:val="both"/>
        <w:rPr>
          <w:lang w:val="it-IT"/>
        </w:rPr>
      </w:pPr>
    </w:p>
    <w:p w14:paraId="2678B34B" w14:textId="77777777" w:rsidR="00EB7C7A" w:rsidRPr="00D57D28" w:rsidRDefault="00EB7C7A" w:rsidP="00D57D28">
      <w:pPr>
        <w:pStyle w:val="Corpotesto"/>
        <w:numPr>
          <w:ilvl w:val="0"/>
          <w:numId w:val="4"/>
        </w:numPr>
        <w:jc w:val="both"/>
        <w:rPr>
          <w:b/>
          <w:color w:val="4B93D8"/>
          <w:lang w:val="it-IT"/>
        </w:rPr>
      </w:pPr>
      <w:r w:rsidRPr="00D57D28">
        <w:rPr>
          <w:b/>
          <w:color w:val="4B93D8"/>
          <w:lang w:val="it-IT"/>
        </w:rPr>
        <w:t>Ineleggibilità dei dipendenti della regione alla carica di consigliere regionale (Art. 4 ter)</w:t>
      </w:r>
    </w:p>
    <w:p w14:paraId="7F831B29" w14:textId="77777777" w:rsidR="00640055" w:rsidRPr="00EB7C7A" w:rsidRDefault="00EB7C7A" w:rsidP="004C0E18">
      <w:pPr>
        <w:pStyle w:val="Corpotesto"/>
        <w:ind w:left="0"/>
        <w:jc w:val="both"/>
        <w:rPr>
          <w:lang w:val="it-IT"/>
        </w:rPr>
      </w:pPr>
      <w:bookmarkStart w:id="3" w:name="_Hlk161835097"/>
      <w:r>
        <w:rPr>
          <w:lang w:val="it-IT"/>
        </w:rPr>
        <w:t>La norma</w:t>
      </w:r>
      <w:r w:rsidR="00357B9C">
        <w:rPr>
          <w:lang w:val="it-IT"/>
        </w:rPr>
        <w:t xml:space="preserve"> in commento</w:t>
      </w:r>
      <w:r w:rsidR="00D57D28">
        <w:rPr>
          <w:lang w:val="it-IT"/>
        </w:rPr>
        <w:t>,</w:t>
      </w:r>
      <w:r>
        <w:rPr>
          <w:lang w:val="it-IT"/>
        </w:rPr>
        <w:t xml:space="preserve"> introdotta durante l’esame in Senato</w:t>
      </w:r>
      <w:r w:rsidR="00A936BD">
        <w:rPr>
          <w:lang w:val="it-IT"/>
        </w:rPr>
        <w:t>,</w:t>
      </w:r>
      <w:r w:rsidRPr="00EB7C7A">
        <w:rPr>
          <w:lang w:val="it-IT"/>
        </w:rPr>
        <w:t xml:space="preserve"> </w:t>
      </w:r>
      <w:bookmarkEnd w:id="3"/>
      <w:r w:rsidRPr="00EB7C7A">
        <w:rPr>
          <w:lang w:val="it-IT"/>
        </w:rPr>
        <w:t>prevede che la disposizione che stabilisce l’ineleggibilità a consigliere regionale dei dipendenti della regione per il rispettivo consiglio si applica esclusivamente a coloro che svolgono, al momento della candidatura, funzioni e attività amministrative.</w:t>
      </w:r>
    </w:p>
    <w:p w14:paraId="63B5E8B5" w14:textId="77777777" w:rsidR="006C3076" w:rsidRDefault="006C3076">
      <w:pPr>
        <w:pStyle w:val="Corpotesto"/>
        <w:ind w:left="0"/>
        <w:rPr>
          <w:lang w:val="it-IT"/>
        </w:rPr>
      </w:pPr>
    </w:p>
    <w:p w14:paraId="54AD487C" w14:textId="77777777" w:rsidR="00591936" w:rsidRDefault="00591936">
      <w:pPr>
        <w:pStyle w:val="Corpotesto"/>
        <w:ind w:left="0"/>
        <w:rPr>
          <w:lang w:val="it-IT"/>
        </w:rPr>
      </w:pPr>
    </w:p>
    <w:p w14:paraId="16C2A9FF" w14:textId="77777777" w:rsidR="00483E57" w:rsidRPr="00E5047E" w:rsidRDefault="00483E57" w:rsidP="00E5047E">
      <w:pPr>
        <w:pStyle w:val="Corpotesto"/>
        <w:numPr>
          <w:ilvl w:val="0"/>
          <w:numId w:val="4"/>
        </w:numPr>
        <w:jc w:val="both"/>
        <w:rPr>
          <w:b/>
          <w:color w:val="4B93D8"/>
          <w:lang w:val="it-IT"/>
        </w:rPr>
      </w:pPr>
      <w:r w:rsidRPr="00E5047E">
        <w:rPr>
          <w:b/>
          <w:color w:val="4B93D8"/>
          <w:lang w:val="it-IT"/>
        </w:rPr>
        <w:t>Autenticazioni delle sottoscrizioni di proposte referendarie in ambito locale</w:t>
      </w:r>
      <w:r w:rsidR="00E5047E">
        <w:rPr>
          <w:b/>
          <w:color w:val="4B93D8"/>
          <w:lang w:val="it-IT"/>
        </w:rPr>
        <w:t xml:space="preserve"> (Art. 4 quater</w:t>
      </w:r>
      <w:r w:rsidRPr="00E5047E">
        <w:rPr>
          <w:b/>
          <w:color w:val="4B93D8"/>
          <w:lang w:val="it-IT"/>
        </w:rPr>
        <w:t>)</w:t>
      </w:r>
      <w:r w:rsidR="00E5047E" w:rsidRPr="00E5047E">
        <w:rPr>
          <w:b/>
          <w:color w:val="4B93D8"/>
          <w:lang w:val="it-IT"/>
        </w:rPr>
        <w:t xml:space="preserve"> </w:t>
      </w:r>
    </w:p>
    <w:p w14:paraId="45005329" w14:textId="77777777" w:rsidR="00591936" w:rsidRDefault="00483E57" w:rsidP="00E5047E">
      <w:pPr>
        <w:pStyle w:val="Corpotesto"/>
        <w:ind w:left="0"/>
        <w:jc w:val="both"/>
        <w:rPr>
          <w:lang w:val="it-IT"/>
        </w:rPr>
      </w:pPr>
      <w:r>
        <w:rPr>
          <w:lang w:val="it-IT"/>
        </w:rPr>
        <w:t>La norma</w:t>
      </w:r>
      <w:r w:rsidR="00357B9C">
        <w:rPr>
          <w:lang w:val="it-IT"/>
        </w:rPr>
        <w:t xml:space="preserve"> in commento</w:t>
      </w:r>
      <w:r>
        <w:rPr>
          <w:lang w:val="it-IT"/>
        </w:rPr>
        <w:t>, introdotta durante l’esame in Senato,</w:t>
      </w:r>
      <w:r w:rsidRPr="00483E57">
        <w:rPr>
          <w:lang w:val="it-IT"/>
        </w:rPr>
        <w:t xml:space="preserve"> modifica l’articolo 14, comma 1, della legge n. 53 del 1990 estendendo l’applicabilità della disposizione, che individua una serie di soggetti ulteriori rispetto ai notai per l’autenticazione delle sottoscrizioni nei procedimenti elettorali, anche all’autenticazione delle sottoscrizioni di proposte referendarie in ambito locale.</w:t>
      </w:r>
      <w:r w:rsidR="001539FE" w:rsidRPr="001539FE">
        <w:rPr>
          <w:lang w:val="it-IT"/>
        </w:rPr>
        <w:t xml:space="preserve"> </w:t>
      </w:r>
      <w:r w:rsidR="0008090C">
        <w:rPr>
          <w:lang w:val="it-IT"/>
        </w:rPr>
        <w:t xml:space="preserve">Pertanto, </w:t>
      </w:r>
      <w:r w:rsidR="0008090C" w:rsidRPr="009C2F7D">
        <w:rPr>
          <w:lang w:val="it-IT"/>
        </w:rPr>
        <w:t>sono competenti ad eseguire le autenticazioni che non siano attribuite esclusivamente ai notai</w:t>
      </w:r>
      <w:r w:rsidR="009C2F7D" w:rsidRPr="009C2F7D">
        <w:rPr>
          <w:lang w:val="it-IT"/>
        </w:rPr>
        <w:t>,</w:t>
      </w:r>
      <w:r w:rsidR="009C2F7D">
        <w:rPr>
          <w:b/>
          <w:bCs/>
          <w:lang w:val="it-IT"/>
        </w:rPr>
        <w:t xml:space="preserve"> </w:t>
      </w:r>
      <w:r w:rsidR="009C2F7D" w:rsidRPr="009C2F7D">
        <w:rPr>
          <w:lang w:val="it-IT"/>
        </w:rPr>
        <w:t>anche</w:t>
      </w:r>
      <w:r w:rsidR="009C2F7D">
        <w:rPr>
          <w:b/>
          <w:bCs/>
          <w:lang w:val="it-IT"/>
        </w:rPr>
        <w:t xml:space="preserve"> </w:t>
      </w:r>
      <w:r w:rsidR="0008090C" w:rsidRPr="0008090C">
        <w:rPr>
          <w:lang w:val="it-IT"/>
        </w:rPr>
        <w:t xml:space="preserve"> </w:t>
      </w:r>
      <w:r w:rsidR="001539FE" w:rsidRPr="001539FE">
        <w:rPr>
          <w:lang w:val="it-IT"/>
        </w:rPr>
        <w:t>i giudici di pace, i cancellieri e i collaboratori delle cancellerie delle corti d'appello e dei tribunali, i segretari delle procure della Repubblica, i membri del Parlamento, i consiglieri regionali, i presidenti delle province, i sindaci metropolitani, i sindaci, gli assessori comunali e provinciali, i componenti della conferenza metropolitana, i presidenti dei consigli comunali e provinciali, i presidenti e i vice presidenti dei consigli circoscrizionali, i consiglieri provinciali, i consiglieri metropolitani e i consiglieri comunali, i segretari comunali e provinciali e i funzionari incaricati dal sindaco e dal presidente della provincia. Sono altresì competenti ad eseguire le predette autenticazioni gli avvocati iscritti all'albo che hanno comunicato la propria disponibilità all'ordine di appartenenza, i cui nominativi sono tempestivamente pubblicati nel sito internet istituzionale dell'ordine</w:t>
      </w:r>
      <w:r w:rsidR="009E0E6A">
        <w:rPr>
          <w:lang w:val="it-IT"/>
        </w:rPr>
        <w:t>.</w:t>
      </w:r>
    </w:p>
    <w:p w14:paraId="38831639" w14:textId="77777777" w:rsidR="009E0E6A" w:rsidRDefault="009E0E6A" w:rsidP="00E5047E">
      <w:pPr>
        <w:pStyle w:val="Corpotesto"/>
        <w:ind w:left="0"/>
        <w:jc w:val="both"/>
        <w:rPr>
          <w:lang w:val="it-IT"/>
        </w:rPr>
      </w:pPr>
    </w:p>
    <w:p w14:paraId="17F869BE" w14:textId="77777777" w:rsidR="009E0E6A" w:rsidRDefault="009E0E6A" w:rsidP="00E5047E">
      <w:pPr>
        <w:pStyle w:val="Corpotesto"/>
        <w:ind w:left="0"/>
        <w:jc w:val="both"/>
        <w:rPr>
          <w:lang w:val="it-IT"/>
        </w:rPr>
      </w:pPr>
    </w:p>
    <w:p w14:paraId="2FFD5A1E" w14:textId="77777777" w:rsidR="00EB010B" w:rsidRPr="00EB010B" w:rsidRDefault="00FA1296" w:rsidP="00EB010B">
      <w:pPr>
        <w:pStyle w:val="Corpotesto"/>
        <w:numPr>
          <w:ilvl w:val="0"/>
          <w:numId w:val="4"/>
        </w:numPr>
        <w:jc w:val="both"/>
        <w:rPr>
          <w:b/>
          <w:color w:val="4B93D8"/>
          <w:lang w:val="it-IT"/>
        </w:rPr>
      </w:pPr>
      <w:r>
        <w:rPr>
          <w:b/>
          <w:color w:val="4B93D8"/>
          <w:lang w:val="it-IT"/>
        </w:rPr>
        <w:t>F</w:t>
      </w:r>
      <w:r w:rsidR="009E0E6A" w:rsidRPr="00EB010B">
        <w:rPr>
          <w:b/>
          <w:color w:val="4B93D8"/>
          <w:lang w:val="it-IT"/>
        </w:rPr>
        <w:t xml:space="preserve">orme </w:t>
      </w:r>
      <w:r>
        <w:rPr>
          <w:b/>
          <w:color w:val="4B93D8"/>
          <w:lang w:val="it-IT"/>
        </w:rPr>
        <w:t xml:space="preserve">ulteriori </w:t>
      </w:r>
      <w:r w:rsidR="009E0E6A" w:rsidRPr="00EB010B">
        <w:rPr>
          <w:b/>
          <w:color w:val="4B93D8"/>
          <w:lang w:val="it-IT"/>
        </w:rPr>
        <w:t xml:space="preserve">di decentramento </w:t>
      </w:r>
      <w:r>
        <w:rPr>
          <w:b/>
          <w:color w:val="4B93D8"/>
          <w:lang w:val="it-IT"/>
        </w:rPr>
        <w:t>in Comuni sopra i 300.000 abitanti</w:t>
      </w:r>
      <w:r w:rsidR="00EB010B" w:rsidRPr="00EB010B">
        <w:rPr>
          <w:b/>
          <w:color w:val="4B93D8"/>
          <w:lang w:val="it-IT"/>
        </w:rPr>
        <w:t xml:space="preserve"> (Art</w:t>
      </w:r>
      <w:r w:rsidR="00495E89">
        <w:rPr>
          <w:b/>
          <w:color w:val="4B93D8"/>
          <w:lang w:val="it-IT"/>
        </w:rPr>
        <w:t>.</w:t>
      </w:r>
      <w:r w:rsidR="00EB010B" w:rsidRPr="00EB010B">
        <w:rPr>
          <w:b/>
          <w:color w:val="4B93D8"/>
          <w:lang w:val="it-IT"/>
        </w:rPr>
        <w:t xml:space="preserve"> 4-</w:t>
      </w:r>
      <w:r w:rsidR="00EB010B" w:rsidRPr="00EB010B">
        <w:rPr>
          <w:b/>
          <w:color w:val="4B93D8"/>
          <w:lang w:val="it-IT"/>
        </w:rPr>
        <w:lastRenderedPageBreak/>
        <w:t>quinquies)</w:t>
      </w:r>
    </w:p>
    <w:p w14:paraId="2576FE4D" w14:textId="3C259CE8" w:rsidR="00312400" w:rsidRDefault="00EB010B" w:rsidP="00E5047E">
      <w:pPr>
        <w:pStyle w:val="Corpotesto"/>
        <w:ind w:left="0"/>
        <w:jc w:val="both"/>
        <w:rPr>
          <w:lang w:val="it-IT"/>
        </w:rPr>
      </w:pPr>
      <w:r>
        <w:rPr>
          <w:lang w:val="it-IT"/>
        </w:rPr>
        <w:t>La norma</w:t>
      </w:r>
      <w:r w:rsidR="00357B9C">
        <w:rPr>
          <w:lang w:val="it-IT"/>
        </w:rPr>
        <w:t xml:space="preserve"> in commento</w:t>
      </w:r>
      <w:r>
        <w:rPr>
          <w:lang w:val="it-IT"/>
        </w:rPr>
        <w:t>,</w:t>
      </w:r>
      <w:r w:rsidR="009E0E6A" w:rsidRPr="009E0E6A">
        <w:rPr>
          <w:lang w:val="it-IT"/>
        </w:rPr>
        <w:t xml:space="preserve"> </w:t>
      </w:r>
      <w:r>
        <w:rPr>
          <w:lang w:val="it-IT"/>
        </w:rPr>
        <w:t xml:space="preserve">introdotta durante l’esame in Senato, </w:t>
      </w:r>
      <w:r w:rsidR="00312400" w:rsidRPr="00EB010B">
        <w:rPr>
          <w:lang w:val="it-IT"/>
        </w:rPr>
        <w:t>interviene sulla disciplina dello status degli amministratori locali d</w:t>
      </w:r>
      <w:r w:rsidR="00F2428A">
        <w:rPr>
          <w:lang w:val="it-IT"/>
        </w:rPr>
        <w:t xml:space="preserve">i </w:t>
      </w:r>
      <w:r w:rsidR="00312400" w:rsidRPr="00EB010B">
        <w:rPr>
          <w:lang w:val="it-IT"/>
        </w:rPr>
        <w:t>forme particolari e più accentuate di decentramento comunale che</w:t>
      </w:r>
      <w:r w:rsidR="00F2428A">
        <w:rPr>
          <w:lang w:val="it-IT"/>
        </w:rPr>
        <w:t xml:space="preserve"> il TUEL (articolo 17</w:t>
      </w:r>
      <w:r w:rsidR="00CC205C">
        <w:rPr>
          <w:lang w:val="it-IT"/>
        </w:rPr>
        <w:t>,</w:t>
      </w:r>
      <w:r w:rsidR="00F2428A">
        <w:rPr>
          <w:lang w:val="it-IT"/>
        </w:rPr>
        <w:t xml:space="preserve"> comma 5) c</w:t>
      </w:r>
      <w:r w:rsidR="00312400" w:rsidRPr="00EB010B">
        <w:rPr>
          <w:lang w:val="it-IT"/>
        </w:rPr>
        <w:t xml:space="preserve">onsente di istituire, al proprio interno, ai </w:t>
      </w:r>
      <w:r w:rsidR="00312400" w:rsidRPr="00F2428A">
        <w:rPr>
          <w:b/>
          <w:bCs/>
          <w:u w:val="single"/>
          <w:lang w:val="it-IT"/>
        </w:rPr>
        <w:t>Comuni con una popolazione superiore ai 300.000 abitanti</w:t>
      </w:r>
      <w:r w:rsidR="00312400">
        <w:rPr>
          <w:lang w:val="it-IT"/>
        </w:rPr>
        <w:t xml:space="preserve"> e </w:t>
      </w:r>
      <w:r w:rsidR="00312400" w:rsidRPr="00312400">
        <w:rPr>
          <w:lang w:val="it-IT"/>
        </w:rPr>
        <w:t xml:space="preserve">chiarisce i termini entro cui ai </w:t>
      </w:r>
      <w:r w:rsidR="00312400">
        <w:rPr>
          <w:lang w:val="it-IT"/>
        </w:rPr>
        <w:t xml:space="preserve">suddetti </w:t>
      </w:r>
      <w:r w:rsidR="00912666">
        <w:rPr>
          <w:lang w:val="it-IT"/>
        </w:rPr>
        <w:t>C</w:t>
      </w:r>
      <w:r w:rsidR="00312400" w:rsidRPr="00312400">
        <w:rPr>
          <w:lang w:val="it-IT"/>
        </w:rPr>
        <w:t>omuni è consentito derogare alla normativa</w:t>
      </w:r>
      <w:r w:rsidR="00312400">
        <w:rPr>
          <w:lang w:val="it-IT"/>
        </w:rPr>
        <w:t xml:space="preserve"> vigente</w:t>
      </w:r>
      <w:r w:rsidR="00312400" w:rsidRPr="00312400">
        <w:rPr>
          <w:lang w:val="it-IT"/>
        </w:rPr>
        <w:t xml:space="preserve">. </w:t>
      </w:r>
    </w:p>
    <w:p w14:paraId="61069BCC" w14:textId="77777777" w:rsidR="00312400" w:rsidRDefault="00312400" w:rsidP="00E5047E">
      <w:pPr>
        <w:pStyle w:val="Corpotesto"/>
        <w:ind w:left="0"/>
        <w:jc w:val="both"/>
        <w:rPr>
          <w:lang w:val="it-IT"/>
        </w:rPr>
      </w:pPr>
    </w:p>
    <w:p w14:paraId="5593DA6B" w14:textId="77777777" w:rsidR="002D11C3" w:rsidRPr="00912666" w:rsidRDefault="00912666" w:rsidP="002D11C3">
      <w:pPr>
        <w:pStyle w:val="Corpotesto"/>
        <w:ind w:left="0"/>
        <w:jc w:val="both"/>
        <w:rPr>
          <w:u w:val="single"/>
          <w:lang w:val="it-IT"/>
        </w:rPr>
      </w:pPr>
      <w:r>
        <w:rPr>
          <w:lang w:val="it-IT"/>
        </w:rPr>
        <w:t>Nello specifico si ricorda che</w:t>
      </w:r>
      <w:r w:rsidR="002D11C3" w:rsidRPr="002D11C3">
        <w:rPr>
          <w:lang w:val="it-IT"/>
        </w:rPr>
        <w:t xml:space="preserve"> l’articolo 17, comma 5, del </w:t>
      </w:r>
      <w:r>
        <w:rPr>
          <w:lang w:val="it-IT"/>
        </w:rPr>
        <w:t>TUEL sopracitato</w:t>
      </w:r>
      <w:r w:rsidR="002D11C3" w:rsidRPr="002D11C3">
        <w:rPr>
          <w:lang w:val="it-IT"/>
        </w:rPr>
        <w:t xml:space="preserve">, dispone che, nei </w:t>
      </w:r>
      <w:r>
        <w:rPr>
          <w:lang w:val="it-IT"/>
        </w:rPr>
        <w:t>C</w:t>
      </w:r>
      <w:r w:rsidR="002D11C3" w:rsidRPr="002D11C3">
        <w:rPr>
          <w:lang w:val="it-IT"/>
        </w:rPr>
        <w:t xml:space="preserve">omuni con popolazione superiore a 300.000 abitanti, </w:t>
      </w:r>
      <w:r w:rsidR="002D11C3" w:rsidRPr="00912666">
        <w:rPr>
          <w:u w:val="single"/>
          <w:lang w:val="it-IT"/>
        </w:rPr>
        <w:t>lo statuto possa prevedere particolari e più accentuate forme di decentramento di funzioni e di autonomia organizzativa e funzionale</w:t>
      </w:r>
      <w:r w:rsidR="002D11C3" w:rsidRPr="002D11C3">
        <w:rPr>
          <w:lang w:val="it-IT"/>
        </w:rPr>
        <w:t xml:space="preserve">, determinando, altresì, anche con il rinvio alla normativa applicabile ai </w:t>
      </w:r>
      <w:r>
        <w:rPr>
          <w:lang w:val="it-IT"/>
        </w:rPr>
        <w:t>C</w:t>
      </w:r>
      <w:r w:rsidR="002D11C3" w:rsidRPr="002D11C3">
        <w:rPr>
          <w:lang w:val="it-IT"/>
        </w:rPr>
        <w:t xml:space="preserve">omuni aventi uguale popolazione, gli organi di tali forme di decentramento, lo status dei </w:t>
      </w:r>
      <w:r w:rsidR="002D11C3" w:rsidRPr="00912666">
        <w:rPr>
          <w:u w:val="single"/>
          <w:lang w:val="it-IT"/>
        </w:rPr>
        <w:t>componenti e le relative modalità di elezione, nomina o designazione.</w:t>
      </w:r>
    </w:p>
    <w:p w14:paraId="242F17A2" w14:textId="77777777" w:rsidR="002D11C3" w:rsidRPr="00F2428A" w:rsidRDefault="00D93765" w:rsidP="002D11C3">
      <w:pPr>
        <w:pStyle w:val="Corpotesto"/>
        <w:ind w:left="0"/>
        <w:jc w:val="both"/>
        <w:rPr>
          <w:b/>
          <w:bCs/>
          <w:i/>
          <w:iCs/>
          <w:u w:val="single"/>
          <w:lang w:val="it-IT"/>
        </w:rPr>
      </w:pPr>
      <w:r>
        <w:rPr>
          <w:u w:val="single"/>
          <w:lang w:val="it-IT"/>
        </w:rPr>
        <w:t>Come si legge nel dossier della Camera dei deputati t</w:t>
      </w:r>
      <w:r w:rsidR="002D11C3" w:rsidRPr="00912666">
        <w:rPr>
          <w:u w:val="single"/>
          <w:lang w:val="it-IT"/>
        </w:rPr>
        <w:t>ale disciplina, può consistere “</w:t>
      </w:r>
      <w:r w:rsidR="002D11C3" w:rsidRPr="00F2428A">
        <w:rPr>
          <w:b/>
          <w:bCs/>
          <w:u w:val="single"/>
          <w:lang w:val="it-IT"/>
        </w:rPr>
        <w:t>anche</w:t>
      </w:r>
      <w:r w:rsidR="002D11C3" w:rsidRPr="00912666">
        <w:rPr>
          <w:u w:val="single"/>
          <w:lang w:val="it-IT"/>
        </w:rPr>
        <w:t xml:space="preserve">” – ma non solo - in un mero “rinvio alla normativa applicabile ai </w:t>
      </w:r>
      <w:r w:rsidR="00912666" w:rsidRPr="00912666">
        <w:rPr>
          <w:u w:val="single"/>
          <w:lang w:val="it-IT"/>
        </w:rPr>
        <w:t>C</w:t>
      </w:r>
      <w:r w:rsidR="002D11C3" w:rsidRPr="00912666">
        <w:rPr>
          <w:u w:val="single"/>
          <w:lang w:val="it-IT"/>
        </w:rPr>
        <w:t xml:space="preserve">omuni aventi uguale popolazione”. </w:t>
      </w:r>
      <w:r w:rsidR="002D11C3" w:rsidRPr="00F2428A">
        <w:rPr>
          <w:b/>
          <w:bCs/>
          <w:i/>
          <w:iCs/>
          <w:u w:val="single"/>
          <w:lang w:val="it-IT"/>
        </w:rPr>
        <w:t xml:space="preserve">Ai citati </w:t>
      </w:r>
      <w:r w:rsidR="00912666" w:rsidRPr="00F2428A">
        <w:rPr>
          <w:b/>
          <w:bCs/>
          <w:i/>
          <w:iCs/>
          <w:u w:val="single"/>
          <w:lang w:val="it-IT"/>
        </w:rPr>
        <w:t>C</w:t>
      </w:r>
      <w:r w:rsidR="002D11C3" w:rsidRPr="00F2428A">
        <w:rPr>
          <w:b/>
          <w:bCs/>
          <w:i/>
          <w:iCs/>
          <w:u w:val="single"/>
          <w:lang w:val="it-IT"/>
        </w:rPr>
        <w:t>omuni è stato dunque riconosciuto il potere di disciplinare la materia dello status degli amministratori delle proprie forme di decentramento in deroga rispetto alla normativa applicabile in via generale agli amministratori circoscrizionali.</w:t>
      </w:r>
    </w:p>
    <w:p w14:paraId="3DAA76BF" w14:textId="77777777" w:rsidR="00312400" w:rsidRPr="00912666" w:rsidRDefault="00312400" w:rsidP="002D11C3">
      <w:pPr>
        <w:pStyle w:val="Corpotesto"/>
        <w:ind w:left="0"/>
        <w:jc w:val="both"/>
        <w:rPr>
          <w:u w:val="single"/>
          <w:lang w:val="it-IT"/>
        </w:rPr>
      </w:pPr>
    </w:p>
    <w:p w14:paraId="4F9A4F82" w14:textId="77777777" w:rsidR="00D00DBC" w:rsidRDefault="008A2258" w:rsidP="00E5047E">
      <w:pPr>
        <w:pStyle w:val="Corpotesto"/>
        <w:ind w:left="0"/>
        <w:jc w:val="both"/>
        <w:rPr>
          <w:lang w:val="it-IT"/>
        </w:rPr>
      </w:pPr>
      <w:r>
        <w:rPr>
          <w:lang w:val="it-IT"/>
        </w:rPr>
        <w:t xml:space="preserve">La </w:t>
      </w:r>
      <w:r w:rsidR="00AA352F">
        <w:rPr>
          <w:lang w:val="it-IT"/>
        </w:rPr>
        <w:t>norma</w:t>
      </w:r>
      <w:r w:rsidR="00BF0E54">
        <w:rPr>
          <w:lang w:val="it-IT"/>
        </w:rPr>
        <w:t xml:space="preserve"> in commento</w:t>
      </w:r>
      <w:r w:rsidR="00AA352F">
        <w:rPr>
          <w:lang w:val="it-IT"/>
        </w:rPr>
        <w:t>, pertanto</w:t>
      </w:r>
      <w:r w:rsidR="009E0E6A" w:rsidRPr="00EB010B">
        <w:rPr>
          <w:lang w:val="it-IT"/>
        </w:rPr>
        <w:t>, dispone</w:t>
      </w:r>
      <w:r w:rsidR="00D00DBC">
        <w:rPr>
          <w:lang w:val="it-IT"/>
        </w:rPr>
        <w:t>:</w:t>
      </w:r>
    </w:p>
    <w:p w14:paraId="6DE90B0F" w14:textId="77777777" w:rsidR="003943F6" w:rsidRDefault="00D00DBC" w:rsidP="00D00DBC">
      <w:pPr>
        <w:pStyle w:val="Corpotesto"/>
        <w:numPr>
          <w:ilvl w:val="0"/>
          <w:numId w:val="6"/>
        </w:numPr>
        <w:jc w:val="both"/>
        <w:rPr>
          <w:lang w:val="it-IT"/>
        </w:rPr>
      </w:pPr>
      <w:r w:rsidRPr="00D00DBC">
        <w:rPr>
          <w:lang w:val="it-IT"/>
        </w:rPr>
        <w:t xml:space="preserve">che i trattamenti relativi ad aspettative, permessi e indennità che siano stati determinati e riconosciuti, fino alla data di entrata in vigore della legge di conversione del presente decreto, dai </w:t>
      </w:r>
      <w:r w:rsidR="003943F6">
        <w:rPr>
          <w:lang w:val="it-IT"/>
        </w:rPr>
        <w:t>C</w:t>
      </w:r>
      <w:r w:rsidRPr="00D00DBC">
        <w:rPr>
          <w:lang w:val="it-IT"/>
        </w:rPr>
        <w:t xml:space="preserve">omuni superiori ai 300.000 abitanti in favore degli amministratori delle proprie forme particolari e più accentuate di decentramento, non sono soggetti a ripetizione. </w:t>
      </w:r>
    </w:p>
    <w:p w14:paraId="205A40AD" w14:textId="77777777" w:rsidR="00B84DD7" w:rsidRPr="00D93765" w:rsidRDefault="00D00DBC" w:rsidP="00D00DBC">
      <w:pPr>
        <w:pStyle w:val="Corpotesto"/>
        <w:numPr>
          <w:ilvl w:val="0"/>
          <w:numId w:val="6"/>
        </w:numPr>
        <w:jc w:val="both"/>
        <w:rPr>
          <w:lang w:val="it-IT"/>
        </w:rPr>
      </w:pPr>
      <w:r w:rsidRPr="00D00DBC">
        <w:rPr>
          <w:lang w:val="it-IT"/>
        </w:rPr>
        <w:t>chiari</w:t>
      </w:r>
      <w:r w:rsidR="00B84DD7">
        <w:rPr>
          <w:lang w:val="it-IT"/>
        </w:rPr>
        <w:t>sce</w:t>
      </w:r>
      <w:r w:rsidRPr="00D00DBC">
        <w:rPr>
          <w:lang w:val="it-IT"/>
        </w:rPr>
        <w:t xml:space="preserve"> quale sarà il regime da applicare alla materia in futuro. In particolare, attribuisce ad un decreto del Ministero dell’interno il compito di stabilire i criteri e le modalità con cui i </w:t>
      </w:r>
      <w:r w:rsidR="00B84DD7">
        <w:rPr>
          <w:lang w:val="it-IT"/>
        </w:rPr>
        <w:t>C</w:t>
      </w:r>
      <w:r w:rsidRPr="00D00DBC">
        <w:rPr>
          <w:lang w:val="it-IT"/>
        </w:rPr>
        <w:t xml:space="preserve">omuni con popolazione superiore a 300.000 abitanti possono riconoscere agli amministratori delle forme particolari e più accentuate di decentramento, indennità e gettoni di presenza, specificando che comunque, tali emolumenti non dovranno determinare, nel loro complesso, una spesa superiore a quella che il </w:t>
      </w:r>
      <w:r w:rsidR="00B84DD7">
        <w:rPr>
          <w:lang w:val="it-IT"/>
        </w:rPr>
        <w:t>C</w:t>
      </w:r>
      <w:r w:rsidRPr="00D00DBC">
        <w:rPr>
          <w:lang w:val="it-IT"/>
        </w:rPr>
        <w:t xml:space="preserve">omune può sostenere applicando le tipologie di indennità e i tetti di spesa previsti dall’articolo 82, commi 1 e 2, agli amministratori dei consigli circoscrizionali. Il decreto </w:t>
      </w:r>
      <w:r w:rsidR="00B84DD7" w:rsidRPr="00D00DBC">
        <w:rPr>
          <w:lang w:val="it-IT"/>
        </w:rPr>
        <w:t xml:space="preserve">del Ministero dell’interno </w:t>
      </w:r>
      <w:r w:rsidRPr="00D00DBC">
        <w:rPr>
          <w:lang w:val="it-IT"/>
        </w:rPr>
        <w:t xml:space="preserve">deve essere emanato, </w:t>
      </w:r>
      <w:r w:rsidRPr="00E029CF">
        <w:rPr>
          <w:u w:val="single"/>
          <w:lang w:val="it-IT"/>
        </w:rPr>
        <w:t>entro sessanta giorni</w:t>
      </w:r>
      <w:r w:rsidR="00E029CF" w:rsidRPr="00E029CF">
        <w:rPr>
          <w:u w:val="single"/>
          <w:lang w:val="it-IT"/>
        </w:rPr>
        <w:t xml:space="preserve"> dalla data di entrata in vigore della legge di conversione</w:t>
      </w:r>
      <w:r w:rsidRPr="00D00DBC">
        <w:rPr>
          <w:lang w:val="it-IT"/>
        </w:rPr>
        <w:t xml:space="preserve">, di concerto </w:t>
      </w:r>
      <w:r w:rsidRPr="00D93765">
        <w:rPr>
          <w:lang w:val="it-IT"/>
        </w:rPr>
        <w:t xml:space="preserve">con il Ministero dell’economia e delle finanze e sentita la Conferenza Stato Città. </w:t>
      </w:r>
    </w:p>
    <w:p w14:paraId="416FFB00" w14:textId="77777777" w:rsidR="00D00DBC" w:rsidRPr="00D93765" w:rsidRDefault="00AA352F" w:rsidP="0048494F">
      <w:pPr>
        <w:pStyle w:val="Corpotesto"/>
        <w:jc w:val="both"/>
        <w:rPr>
          <w:b/>
          <w:bCs/>
          <w:lang w:val="it-IT"/>
        </w:rPr>
      </w:pPr>
      <w:r w:rsidRPr="00D93765">
        <w:rPr>
          <w:lang w:val="it-IT"/>
        </w:rPr>
        <w:t>Pertanto,</w:t>
      </w:r>
      <w:r w:rsidR="00D00DBC" w:rsidRPr="00D93765">
        <w:rPr>
          <w:lang w:val="it-IT"/>
        </w:rPr>
        <w:t xml:space="preserve"> </w:t>
      </w:r>
      <w:r w:rsidR="00F2428A" w:rsidRPr="00D93765">
        <w:rPr>
          <w:lang w:val="it-IT"/>
        </w:rPr>
        <w:t xml:space="preserve">come pure affermato nel </w:t>
      </w:r>
      <w:r w:rsidR="00D93765" w:rsidRPr="00D93765">
        <w:rPr>
          <w:lang w:val="it-IT"/>
        </w:rPr>
        <w:t xml:space="preserve">succitato </w:t>
      </w:r>
      <w:r w:rsidR="00F2428A" w:rsidRPr="00D93765">
        <w:rPr>
          <w:lang w:val="it-IT"/>
        </w:rPr>
        <w:t xml:space="preserve">dossier, </w:t>
      </w:r>
      <w:r w:rsidR="00D00DBC" w:rsidRPr="00D93765">
        <w:rPr>
          <w:lang w:val="it-IT"/>
        </w:rPr>
        <w:t xml:space="preserve">ai sensi della norma in commento, i </w:t>
      </w:r>
      <w:r w:rsidR="0048494F" w:rsidRPr="00D93765">
        <w:rPr>
          <w:lang w:val="it-IT"/>
        </w:rPr>
        <w:t>C</w:t>
      </w:r>
      <w:r w:rsidR="00D00DBC" w:rsidRPr="00D93765">
        <w:rPr>
          <w:lang w:val="it-IT"/>
        </w:rPr>
        <w:t xml:space="preserve">omuni superiori ai 300.000 abitanti </w:t>
      </w:r>
      <w:r w:rsidR="00F2428A" w:rsidRPr="00D93765">
        <w:rPr>
          <w:b/>
          <w:bCs/>
          <w:u w:val="single"/>
          <w:lang w:val="it-IT"/>
        </w:rPr>
        <w:t xml:space="preserve">sono e </w:t>
      </w:r>
      <w:r w:rsidR="00D00DBC" w:rsidRPr="00D93765">
        <w:rPr>
          <w:b/>
          <w:bCs/>
          <w:u w:val="single"/>
          <w:lang w:val="it-IT"/>
        </w:rPr>
        <w:t>restano</w:t>
      </w:r>
      <w:r w:rsidR="00D00DBC" w:rsidRPr="00D93765">
        <w:rPr>
          <w:b/>
          <w:bCs/>
          <w:lang w:val="it-IT"/>
        </w:rPr>
        <w:t xml:space="preserve"> </w:t>
      </w:r>
      <w:r w:rsidR="00F2428A" w:rsidRPr="00D93765">
        <w:rPr>
          <w:b/>
          <w:bCs/>
          <w:u w:val="single"/>
          <w:lang w:val="it-IT"/>
        </w:rPr>
        <w:t xml:space="preserve">anche </w:t>
      </w:r>
      <w:r w:rsidR="00D00DBC" w:rsidRPr="00D93765">
        <w:rPr>
          <w:b/>
          <w:bCs/>
          <w:u w:val="single"/>
          <w:lang w:val="it-IT"/>
        </w:rPr>
        <w:t>per il futuro</w:t>
      </w:r>
      <w:r w:rsidR="00F2428A" w:rsidRPr="00D93765">
        <w:rPr>
          <w:b/>
          <w:bCs/>
          <w:u w:val="single"/>
          <w:lang w:val="it-IT"/>
        </w:rPr>
        <w:t xml:space="preserve">, </w:t>
      </w:r>
      <w:r w:rsidR="00D00DBC" w:rsidRPr="00D93765">
        <w:rPr>
          <w:b/>
          <w:bCs/>
          <w:u w:val="single"/>
          <w:lang w:val="it-IT"/>
        </w:rPr>
        <w:t>titolari del potere di derogare alle disposizioni vigenti in materia di indennità dei componenti delle proprie forme particolari e più accentuate di decentramento, ma a parità di spesa complessiva</w:t>
      </w:r>
      <w:r w:rsidR="0048494F" w:rsidRPr="00D93765">
        <w:rPr>
          <w:b/>
          <w:bCs/>
          <w:lang w:val="it-IT"/>
        </w:rPr>
        <w:t>.</w:t>
      </w:r>
    </w:p>
    <w:p w14:paraId="2621361F" w14:textId="77777777" w:rsidR="00D00DBC" w:rsidRDefault="00D00DBC" w:rsidP="00E5047E">
      <w:pPr>
        <w:pStyle w:val="Corpotesto"/>
        <w:ind w:left="0"/>
        <w:jc w:val="both"/>
        <w:rPr>
          <w:lang w:val="it-IT"/>
        </w:rPr>
      </w:pPr>
    </w:p>
    <w:p w14:paraId="6325FD7B" w14:textId="77777777" w:rsidR="00591936" w:rsidRDefault="00591936">
      <w:pPr>
        <w:pStyle w:val="Corpotesto"/>
        <w:ind w:left="0"/>
        <w:rPr>
          <w:lang w:val="it-IT"/>
        </w:rPr>
      </w:pPr>
    </w:p>
    <w:p w14:paraId="437A36B1" w14:textId="77777777" w:rsidR="00C52370" w:rsidRPr="00C52370" w:rsidRDefault="00C52370" w:rsidP="002D513C">
      <w:pPr>
        <w:pStyle w:val="Corpotesto"/>
        <w:numPr>
          <w:ilvl w:val="0"/>
          <w:numId w:val="4"/>
        </w:numPr>
        <w:jc w:val="both"/>
        <w:rPr>
          <w:b/>
          <w:color w:val="4B93D8"/>
          <w:lang w:val="it-IT"/>
        </w:rPr>
      </w:pPr>
      <w:r w:rsidRPr="00C52370">
        <w:rPr>
          <w:b/>
          <w:color w:val="4B93D8"/>
          <w:lang w:val="it-IT"/>
        </w:rPr>
        <w:t>Riduzione del numero delle sottoscrizioni per la presentazione delle liste di candidati in occasione della elezione dei membri del Parlamento europeo spettanti all'Italia del 2024</w:t>
      </w:r>
      <w:r>
        <w:rPr>
          <w:b/>
          <w:color w:val="4B93D8"/>
          <w:lang w:val="it-IT"/>
        </w:rPr>
        <w:t xml:space="preserve"> (</w:t>
      </w:r>
      <w:r w:rsidRPr="00C52370">
        <w:rPr>
          <w:b/>
          <w:color w:val="4B93D8"/>
          <w:lang w:val="it-IT"/>
        </w:rPr>
        <w:t>Art</w:t>
      </w:r>
      <w:r w:rsidR="00DB5FB6">
        <w:rPr>
          <w:b/>
          <w:color w:val="4B93D8"/>
          <w:lang w:val="it-IT"/>
        </w:rPr>
        <w:t xml:space="preserve">. </w:t>
      </w:r>
      <w:r w:rsidRPr="00C52370">
        <w:rPr>
          <w:b/>
          <w:color w:val="4B93D8"/>
          <w:lang w:val="it-IT"/>
        </w:rPr>
        <w:t>4-septies</w:t>
      </w:r>
      <w:r>
        <w:rPr>
          <w:b/>
          <w:color w:val="4B93D8"/>
          <w:lang w:val="it-IT"/>
        </w:rPr>
        <w:t>)</w:t>
      </w:r>
      <w:r w:rsidRPr="00C52370">
        <w:rPr>
          <w:b/>
          <w:color w:val="4B93D8"/>
          <w:lang w:val="it-IT"/>
        </w:rPr>
        <w:t xml:space="preserve"> </w:t>
      </w:r>
    </w:p>
    <w:p w14:paraId="42910A6E" w14:textId="77777777" w:rsidR="00C52370" w:rsidRDefault="00C52370" w:rsidP="00833A1E">
      <w:pPr>
        <w:pStyle w:val="Corpotesto"/>
        <w:ind w:left="0"/>
        <w:jc w:val="both"/>
        <w:rPr>
          <w:lang w:val="it-IT"/>
        </w:rPr>
      </w:pPr>
      <w:r>
        <w:rPr>
          <w:lang w:val="it-IT"/>
        </w:rPr>
        <w:t>La norma</w:t>
      </w:r>
      <w:r w:rsidR="00357B9C">
        <w:rPr>
          <w:lang w:val="it-IT"/>
        </w:rPr>
        <w:t xml:space="preserve"> in commento</w:t>
      </w:r>
      <w:r>
        <w:rPr>
          <w:lang w:val="it-IT"/>
        </w:rPr>
        <w:t xml:space="preserve">, </w:t>
      </w:r>
      <w:r w:rsidRPr="00C52370">
        <w:rPr>
          <w:lang w:val="it-IT"/>
        </w:rPr>
        <w:t>introdott</w:t>
      </w:r>
      <w:r>
        <w:rPr>
          <w:lang w:val="it-IT"/>
        </w:rPr>
        <w:t xml:space="preserve">a durante </w:t>
      </w:r>
      <w:r w:rsidRPr="00C52370">
        <w:rPr>
          <w:lang w:val="it-IT"/>
        </w:rPr>
        <w:t xml:space="preserve">l’esame </w:t>
      </w:r>
      <w:r>
        <w:rPr>
          <w:lang w:val="it-IT"/>
        </w:rPr>
        <w:t>in</w:t>
      </w:r>
      <w:r w:rsidRPr="00C52370">
        <w:rPr>
          <w:lang w:val="it-IT"/>
        </w:rPr>
        <w:t xml:space="preserve"> Senato, riduce della metà (da 30.000 a 15.000) il numero minimo delle sottoscrizioni degli elettori necessarie per la presentazione delle liste dei candidati in ciascuna delle 5 circoscrizioni elettorali per le elezioni europee del 2024. Resta invariato il numero massimo delle sottoscrizioni pari a 35.000</w:t>
      </w:r>
      <w:r w:rsidR="00DB5FB6">
        <w:rPr>
          <w:lang w:val="it-IT"/>
        </w:rPr>
        <w:t>.</w:t>
      </w:r>
    </w:p>
    <w:p w14:paraId="40BAD53D" w14:textId="77777777" w:rsidR="006B70C5" w:rsidRDefault="006B70C5" w:rsidP="00833A1E">
      <w:pPr>
        <w:pStyle w:val="Corpotesto"/>
        <w:ind w:left="0"/>
        <w:jc w:val="both"/>
        <w:rPr>
          <w:lang w:val="it-IT"/>
        </w:rPr>
      </w:pPr>
    </w:p>
    <w:p w14:paraId="622EFA7D" w14:textId="77777777" w:rsidR="006B70C5" w:rsidRDefault="006B70C5" w:rsidP="00833A1E">
      <w:pPr>
        <w:pStyle w:val="Corpotesto"/>
        <w:ind w:left="0"/>
        <w:jc w:val="both"/>
        <w:rPr>
          <w:lang w:val="it-IT"/>
        </w:rPr>
      </w:pPr>
    </w:p>
    <w:p w14:paraId="61D6238C" w14:textId="77777777" w:rsidR="00041A2C" w:rsidRDefault="00041A2C" w:rsidP="00833A1E">
      <w:pPr>
        <w:pStyle w:val="Corpotesto"/>
        <w:ind w:left="0"/>
        <w:jc w:val="both"/>
        <w:rPr>
          <w:lang w:val="it-IT"/>
        </w:rPr>
      </w:pPr>
    </w:p>
    <w:p w14:paraId="5149E78A" w14:textId="77777777" w:rsidR="00C52370" w:rsidRDefault="00C52370" w:rsidP="00833A1E">
      <w:pPr>
        <w:pStyle w:val="Corpotesto"/>
        <w:ind w:left="0"/>
        <w:jc w:val="both"/>
        <w:rPr>
          <w:lang w:val="it-IT"/>
        </w:rPr>
      </w:pPr>
    </w:p>
    <w:p w14:paraId="1B448136" w14:textId="77777777" w:rsidR="001D5693" w:rsidRDefault="000537AF">
      <w:pPr>
        <w:pStyle w:val="Paragrafoelenco"/>
        <w:numPr>
          <w:ilvl w:val="2"/>
          <w:numId w:val="1"/>
        </w:numPr>
        <w:tabs>
          <w:tab w:val="left" w:pos="833"/>
        </w:tabs>
        <w:ind w:hanging="361"/>
        <w:rPr>
          <w:b/>
        </w:rPr>
      </w:pPr>
      <w:r>
        <w:rPr>
          <w:b/>
          <w:color w:val="4B93D8"/>
        </w:rPr>
        <w:lastRenderedPageBreak/>
        <w:t>Disposizioni finanziarie (Art.</w:t>
      </w:r>
      <w:r>
        <w:rPr>
          <w:b/>
          <w:color w:val="4B93D8"/>
          <w:spacing w:val="-1"/>
        </w:rPr>
        <w:t xml:space="preserve"> </w:t>
      </w:r>
      <w:r>
        <w:rPr>
          <w:b/>
          <w:color w:val="4B93D8"/>
        </w:rPr>
        <w:t>5)</w:t>
      </w:r>
    </w:p>
    <w:p w14:paraId="2E1DB38F" w14:textId="77777777" w:rsidR="001D5693" w:rsidRPr="00B766FE" w:rsidRDefault="000537AF">
      <w:pPr>
        <w:pStyle w:val="Corpotesto"/>
        <w:spacing w:before="1"/>
        <w:ind w:right="108"/>
        <w:jc w:val="both"/>
        <w:rPr>
          <w:lang w:val="it-IT"/>
        </w:rPr>
      </w:pPr>
      <w:r w:rsidRPr="00045F34">
        <w:rPr>
          <w:lang w:val="it-IT"/>
        </w:rPr>
        <w:t>L</w:t>
      </w:r>
      <w:r w:rsidR="00C17D8C">
        <w:rPr>
          <w:lang w:val="it-IT"/>
        </w:rPr>
        <w:t>a norma</w:t>
      </w:r>
      <w:r w:rsidR="00504B91">
        <w:rPr>
          <w:lang w:val="it-IT"/>
        </w:rPr>
        <w:t xml:space="preserve"> di chiusura</w:t>
      </w:r>
      <w:r w:rsidRPr="00045F34">
        <w:rPr>
          <w:lang w:val="it-IT"/>
        </w:rPr>
        <w:t xml:space="preserve"> </w:t>
      </w:r>
      <w:r w:rsidR="00B766FE" w:rsidRPr="00B766FE">
        <w:rPr>
          <w:lang w:val="it-IT"/>
        </w:rPr>
        <w:t>reca la copertura finanziaria degli oneri, pari a euro 7.573.859, per l’anno 2024.</w:t>
      </w:r>
    </w:p>
    <w:sectPr w:rsidR="001D5693" w:rsidRPr="00B766FE">
      <w:footerReference w:type="default" r:id="rId9"/>
      <w:pgSz w:w="11910" w:h="16840"/>
      <w:pgMar w:top="1580" w:right="1020" w:bottom="1280" w:left="1020" w:header="0" w:footer="10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0592D" w14:textId="77777777" w:rsidR="00AD093D" w:rsidRDefault="00AD093D">
      <w:r>
        <w:separator/>
      </w:r>
    </w:p>
  </w:endnote>
  <w:endnote w:type="continuationSeparator" w:id="0">
    <w:p w14:paraId="4FF311C3" w14:textId="77777777" w:rsidR="00AD093D" w:rsidRDefault="00AD0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99EB" w14:textId="77777777" w:rsidR="001D5693" w:rsidRDefault="00FA5403">
    <w:pPr>
      <w:pStyle w:val="Corpotesto"/>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1E49DD71" wp14:editId="12C0FEC9">
              <wp:simplePos x="0" y="0"/>
              <wp:positionH relativeFrom="page">
                <wp:posOffset>3700145</wp:posOffset>
              </wp:positionH>
              <wp:positionV relativeFrom="page">
                <wp:posOffset>9858375</wp:posOffset>
              </wp:positionV>
              <wp:extent cx="158115" cy="211455"/>
              <wp:effectExtent l="0" t="0" r="0" b="0"/>
              <wp:wrapNone/>
              <wp:docPr id="3"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81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B2A7B" w14:textId="77777777" w:rsidR="001D5693" w:rsidRDefault="000537AF">
                          <w:pPr>
                            <w:spacing w:before="17"/>
                            <w:ind w:left="60"/>
                            <w:rPr>
                              <w:rFonts w:ascii="Calibri"/>
                              <w:sz w:val="24"/>
                            </w:rPr>
                          </w:pPr>
                          <w:r>
                            <w:fldChar w:fldCharType="begin"/>
                          </w:r>
                          <w:r>
                            <w:rPr>
                              <w:rFonts w:ascii="Calibri"/>
                              <w:w w:val="105"/>
                              <w:sz w:val="24"/>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9DD71" id="_x0000_t202" coordsize="21600,21600" o:spt="202" path="m,l,21600r21600,l21600,xe">
              <v:stroke joinstyle="miter"/>
              <v:path gradientshapeok="t" o:connecttype="rect"/>
            </v:shapetype>
            <v:shape id=" 1" o:spid="_x0000_s1026" type="#_x0000_t202" style="position:absolute;margin-left:291.35pt;margin-top:776.25pt;width:12.45pt;height:1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" filled="f" stroked="f">
              <v:path arrowok="t"/>
              <v:textbox inset="0,0,0,0">
                <w:txbxContent>
                  <w:p w14:paraId="10FB2A7B" w14:textId="77777777" w:rsidR="001D5693" w:rsidRDefault="000537AF">
                    <w:pPr>
                      <w:spacing w:before="17"/>
                      <w:ind w:left="60"/>
                      <w:rPr>
                        <w:rFonts w:ascii="Calibri"/>
                        <w:sz w:val="24"/>
                      </w:rPr>
                    </w:pPr>
                    <w:r>
                      <w:fldChar w:fldCharType="begin"/>
                    </w:r>
                    <w:r>
                      <w:rPr>
                        <w:rFonts w:ascii="Calibri"/>
                        <w:w w:val="105"/>
                        <w:sz w:val="24"/>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F456A" w14:textId="77777777" w:rsidR="00AD093D" w:rsidRDefault="00AD093D">
      <w:r>
        <w:separator/>
      </w:r>
    </w:p>
  </w:footnote>
  <w:footnote w:type="continuationSeparator" w:id="0">
    <w:p w14:paraId="388F67EF" w14:textId="77777777" w:rsidR="00AD093D" w:rsidRDefault="00AD0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AE8"/>
    <w:multiLevelType w:val="multilevel"/>
    <w:tmpl w:val="AB3811E6"/>
    <w:lvl w:ilvl="0">
      <w:start w:val="15"/>
      <w:numFmt w:val="decimal"/>
      <w:lvlText w:val="%1"/>
      <w:lvlJc w:val="left"/>
      <w:pPr>
        <w:ind w:left="112" w:hanging="901"/>
      </w:pPr>
      <w:rPr>
        <w:rFonts w:hint="default"/>
      </w:rPr>
    </w:lvl>
    <w:lvl w:ilvl="1">
      <w:numFmt w:val="decimalZero"/>
      <w:lvlText w:val="%1.%2"/>
      <w:lvlJc w:val="left"/>
      <w:pPr>
        <w:ind w:left="112" w:hanging="901"/>
      </w:pPr>
      <w:rPr>
        <w:rFonts w:ascii="Bookman Old Style" w:eastAsia="Bookman Old Style" w:hAnsi="Bookman Old Style" w:cs="Bookman Old Style" w:hint="default"/>
        <w:spacing w:val="-3"/>
        <w:w w:val="100"/>
        <w:sz w:val="22"/>
        <w:szCs w:val="22"/>
      </w:rPr>
    </w:lvl>
    <w:lvl w:ilvl="2">
      <w:numFmt w:val="bullet"/>
      <w:lvlText w:val=""/>
      <w:lvlJc w:val="left"/>
      <w:pPr>
        <w:ind w:left="832" w:hanging="360"/>
      </w:pPr>
      <w:rPr>
        <w:rFonts w:ascii="Wingdings" w:eastAsia="Wingdings" w:hAnsi="Wingdings" w:cs="Wingdings" w:hint="default"/>
        <w:color w:val="4B93D8"/>
        <w:w w:val="100"/>
        <w:sz w:val="22"/>
        <w:szCs w:val="22"/>
      </w:rPr>
    </w:lvl>
    <w:lvl w:ilvl="3">
      <w:numFmt w:val="bullet"/>
      <w:lvlText w:val="•"/>
      <w:lvlJc w:val="left"/>
      <w:pPr>
        <w:ind w:left="2845" w:hanging="360"/>
      </w:pPr>
      <w:rPr>
        <w:rFonts w:hint="default"/>
      </w:rPr>
    </w:lvl>
    <w:lvl w:ilvl="4">
      <w:numFmt w:val="bullet"/>
      <w:lvlText w:val="•"/>
      <w:lvlJc w:val="left"/>
      <w:pPr>
        <w:ind w:left="3848" w:hanging="360"/>
      </w:pPr>
      <w:rPr>
        <w:rFonts w:hint="default"/>
      </w:rPr>
    </w:lvl>
    <w:lvl w:ilvl="5">
      <w:numFmt w:val="bullet"/>
      <w:lvlText w:val="•"/>
      <w:lvlJc w:val="left"/>
      <w:pPr>
        <w:ind w:left="4851" w:hanging="360"/>
      </w:pPr>
      <w:rPr>
        <w:rFonts w:hint="default"/>
      </w:rPr>
    </w:lvl>
    <w:lvl w:ilvl="6">
      <w:numFmt w:val="bullet"/>
      <w:lvlText w:val="•"/>
      <w:lvlJc w:val="left"/>
      <w:pPr>
        <w:ind w:left="5854" w:hanging="360"/>
      </w:pPr>
      <w:rPr>
        <w:rFonts w:hint="default"/>
      </w:rPr>
    </w:lvl>
    <w:lvl w:ilvl="7">
      <w:numFmt w:val="bullet"/>
      <w:lvlText w:val="•"/>
      <w:lvlJc w:val="left"/>
      <w:pPr>
        <w:ind w:left="6857" w:hanging="360"/>
      </w:pPr>
      <w:rPr>
        <w:rFonts w:hint="default"/>
      </w:rPr>
    </w:lvl>
    <w:lvl w:ilvl="8">
      <w:numFmt w:val="bullet"/>
      <w:lvlText w:val="•"/>
      <w:lvlJc w:val="left"/>
      <w:pPr>
        <w:ind w:left="7860" w:hanging="360"/>
      </w:pPr>
      <w:rPr>
        <w:rFonts w:hint="default"/>
      </w:rPr>
    </w:lvl>
  </w:abstractNum>
  <w:abstractNum w:abstractNumId="1" w15:restartNumberingAfterBreak="0">
    <w:nsid w:val="13DA53B1"/>
    <w:multiLevelType w:val="hybridMultilevel"/>
    <w:tmpl w:val="05749876"/>
    <w:lvl w:ilvl="0" w:tplc="7EE6C982">
      <w:numFmt w:val="bullet"/>
      <w:lvlText w:val="-"/>
      <w:lvlJc w:val="left"/>
      <w:pPr>
        <w:ind w:left="112" w:hanging="166"/>
      </w:pPr>
      <w:rPr>
        <w:rFonts w:ascii="Bookman Old Style" w:eastAsia="Bookman Old Style" w:hAnsi="Bookman Old Style" w:cs="Bookman Old Style" w:hint="default"/>
        <w:w w:val="100"/>
        <w:sz w:val="22"/>
        <w:szCs w:val="22"/>
      </w:rPr>
    </w:lvl>
    <w:lvl w:ilvl="1" w:tplc="1018CF38">
      <w:numFmt w:val="bullet"/>
      <w:lvlText w:val=""/>
      <w:lvlJc w:val="left"/>
      <w:pPr>
        <w:ind w:left="832" w:hanging="360"/>
      </w:pPr>
      <w:rPr>
        <w:rFonts w:ascii="Wingdings" w:eastAsia="Wingdings" w:hAnsi="Wingdings" w:cs="Wingdings" w:hint="default"/>
        <w:color w:val="4B93D8"/>
        <w:w w:val="100"/>
        <w:sz w:val="22"/>
        <w:szCs w:val="22"/>
      </w:rPr>
    </w:lvl>
    <w:lvl w:ilvl="2" w:tplc="3DAC3C64">
      <w:numFmt w:val="bullet"/>
      <w:lvlText w:val="•"/>
      <w:lvlJc w:val="left"/>
      <w:pPr>
        <w:ind w:left="1842" w:hanging="360"/>
      </w:pPr>
      <w:rPr>
        <w:rFonts w:hint="default"/>
      </w:rPr>
    </w:lvl>
    <w:lvl w:ilvl="3" w:tplc="28C801EC">
      <w:numFmt w:val="bullet"/>
      <w:lvlText w:val="•"/>
      <w:lvlJc w:val="left"/>
      <w:pPr>
        <w:ind w:left="2845" w:hanging="360"/>
      </w:pPr>
      <w:rPr>
        <w:rFonts w:hint="default"/>
      </w:rPr>
    </w:lvl>
    <w:lvl w:ilvl="4" w:tplc="118C76F8">
      <w:numFmt w:val="bullet"/>
      <w:lvlText w:val="•"/>
      <w:lvlJc w:val="left"/>
      <w:pPr>
        <w:ind w:left="3848" w:hanging="360"/>
      </w:pPr>
      <w:rPr>
        <w:rFonts w:hint="default"/>
      </w:rPr>
    </w:lvl>
    <w:lvl w:ilvl="5" w:tplc="98F09B68">
      <w:numFmt w:val="bullet"/>
      <w:lvlText w:val="•"/>
      <w:lvlJc w:val="left"/>
      <w:pPr>
        <w:ind w:left="4851" w:hanging="360"/>
      </w:pPr>
      <w:rPr>
        <w:rFonts w:hint="default"/>
      </w:rPr>
    </w:lvl>
    <w:lvl w:ilvl="6" w:tplc="5FB62346">
      <w:numFmt w:val="bullet"/>
      <w:lvlText w:val="•"/>
      <w:lvlJc w:val="left"/>
      <w:pPr>
        <w:ind w:left="5854" w:hanging="360"/>
      </w:pPr>
      <w:rPr>
        <w:rFonts w:hint="default"/>
      </w:rPr>
    </w:lvl>
    <w:lvl w:ilvl="7" w:tplc="803E3C8A">
      <w:numFmt w:val="bullet"/>
      <w:lvlText w:val="•"/>
      <w:lvlJc w:val="left"/>
      <w:pPr>
        <w:ind w:left="6857" w:hanging="360"/>
      </w:pPr>
      <w:rPr>
        <w:rFonts w:hint="default"/>
      </w:rPr>
    </w:lvl>
    <w:lvl w:ilvl="8" w:tplc="FAF4F0E0">
      <w:numFmt w:val="bullet"/>
      <w:lvlText w:val="•"/>
      <w:lvlJc w:val="left"/>
      <w:pPr>
        <w:ind w:left="7860" w:hanging="360"/>
      </w:pPr>
      <w:rPr>
        <w:rFonts w:hint="default"/>
      </w:rPr>
    </w:lvl>
  </w:abstractNum>
  <w:abstractNum w:abstractNumId="2" w15:restartNumberingAfterBreak="0">
    <w:nsid w:val="2037156B"/>
    <w:multiLevelType w:val="multilevel"/>
    <w:tmpl w:val="F2205482"/>
    <w:lvl w:ilvl="0">
      <w:start w:val="15"/>
      <w:numFmt w:val="decimal"/>
      <w:lvlText w:val="%1"/>
      <w:lvlJc w:val="left"/>
      <w:pPr>
        <w:ind w:left="936" w:hanging="824"/>
      </w:pPr>
      <w:rPr>
        <w:rFonts w:hint="default"/>
      </w:rPr>
    </w:lvl>
    <w:lvl w:ilvl="1">
      <w:numFmt w:val="decimalZero"/>
      <w:lvlText w:val="%1.%2"/>
      <w:lvlJc w:val="left"/>
      <w:pPr>
        <w:ind w:left="936" w:hanging="824"/>
      </w:pPr>
      <w:rPr>
        <w:rFonts w:ascii="Bookman Old Style" w:eastAsia="Bookman Old Style" w:hAnsi="Bookman Old Style" w:cs="Bookman Old Style" w:hint="default"/>
        <w:spacing w:val="-3"/>
        <w:w w:val="100"/>
        <w:sz w:val="22"/>
        <w:szCs w:val="22"/>
      </w:rPr>
    </w:lvl>
    <w:lvl w:ilvl="2">
      <w:numFmt w:val="bullet"/>
      <w:lvlText w:val=""/>
      <w:lvlJc w:val="left"/>
      <w:pPr>
        <w:ind w:left="832" w:hanging="360"/>
      </w:pPr>
      <w:rPr>
        <w:rFonts w:ascii="Wingdings" w:eastAsia="Wingdings" w:hAnsi="Wingdings" w:cs="Wingdings" w:hint="default"/>
        <w:color w:val="4B93D7"/>
        <w:w w:val="100"/>
        <w:sz w:val="22"/>
        <w:szCs w:val="22"/>
      </w:rPr>
    </w:lvl>
    <w:lvl w:ilvl="3">
      <w:numFmt w:val="bullet"/>
      <w:lvlText w:val="•"/>
      <w:lvlJc w:val="left"/>
      <w:pPr>
        <w:ind w:left="2923" w:hanging="360"/>
      </w:pPr>
      <w:rPr>
        <w:rFonts w:hint="default"/>
      </w:rPr>
    </w:lvl>
    <w:lvl w:ilvl="4">
      <w:numFmt w:val="bullet"/>
      <w:lvlText w:val="•"/>
      <w:lvlJc w:val="left"/>
      <w:pPr>
        <w:ind w:left="3915" w:hanging="360"/>
      </w:pPr>
      <w:rPr>
        <w:rFonts w:hint="default"/>
      </w:rPr>
    </w:lvl>
    <w:lvl w:ilvl="5">
      <w:numFmt w:val="bullet"/>
      <w:lvlText w:val="•"/>
      <w:lvlJc w:val="left"/>
      <w:pPr>
        <w:ind w:left="4907" w:hanging="360"/>
      </w:pPr>
      <w:rPr>
        <w:rFonts w:hint="default"/>
      </w:rPr>
    </w:lvl>
    <w:lvl w:ilvl="6">
      <w:numFmt w:val="bullet"/>
      <w:lvlText w:val="•"/>
      <w:lvlJc w:val="left"/>
      <w:pPr>
        <w:ind w:left="5899" w:hanging="360"/>
      </w:pPr>
      <w:rPr>
        <w:rFonts w:hint="default"/>
      </w:rPr>
    </w:lvl>
    <w:lvl w:ilvl="7">
      <w:numFmt w:val="bullet"/>
      <w:lvlText w:val="•"/>
      <w:lvlJc w:val="left"/>
      <w:pPr>
        <w:ind w:left="6890" w:hanging="360"/>
      </w:pPr>
      <w:rPr>
        <w:rFonts w:hint="default"/>
      </w:rPr>
    </w:lvl>
    <w:lvl w:ilvl="8">
      <w:numFmt w:val="bullet"/>
      <w:lvlText w:val="•"/>
      <w:lvlJc w:val="left"/>
      <w:pPr>
        <w:ind w:left="7882" w:hanging="360"/>
      </w:pPr>
      <w:rPr>
        <w:rFonts w:hint="default"/>
      </w:rPr>
    </w:lvl>
  </w:abstractNum>
  <w:abstractNum w:abstractNumId="3" w15:restartNumberingAfterBreak="0">
    <w:nsid w:val="2886477F"/>
    <w:multiLevelType w:val="hybridMultilevel"/>
    <w:tmpl w:val="D6E8FD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DC7063"/>
    <w:multiLevelType w:val="hybridMultilevel"/>
    <w:tmpl w:val="9B16009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8CA39C8"/>
    <w:multiLevelType w:val="hybridMultilevel"/>
    <w:tmpl w:val="F222BF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9B26F30"/>
    <w:multiLevelType w:val="hybridMultilevel"/>
    <w:tmpl w:val="3A3456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22261569">
    <w:abstractNumId w:val="0"/>
  </w:num>
  <w:num w:numId="2" w16cid:durableId="1183670348">
    <w:abstractNumId w:val="1"/>
  </w:num>
  <w:num w:numId="3" w16cid:durableId="1469475907">
    <w:abstractNumId w:val="2"/>
  </w:num>
  <w:num w:numId="4" w16cid:durableId="1332216055">
    <w:abstractNumId w:val="4"/>
  </w:num>
  <w:num w:numId="5" w16cid:durableId="1588659229">
    <w:abstractNumId w:val="6"/>
  </w:num>
  <w:num w:numId="6" w16cid:durableId="947466656">
    <w:abstractNumId w:val="5"/>
  </w:num>
  <w:num w:numId="7" w16cid:durableId="1889294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removePersonalInformation/>
  <w:removeDateAndTime/>
  <w:proofState w:spelling="clean" w:grammar="clean"/>
  <w:trackRevisions/>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93"/>
    <w:rsid w:val="00007720"/>
    <w:rsid w:val="000178E2"/>
    <w:rsid w:val="00041A2C"/>
    <w:rsid w:val="00045F34"/>
    <w:rsid w:val="00047D1C"/>
    <w:rsid w:val="000537AF"/>
    <w:rsid w:val="000544FB"/>
    <w:rsid w:val="00054DB8"/>
    <w:rsid w:val="0008090C"/>
    <w:rsid w:val="000C112F"/>
    <w:rsid w:val="000C4116"/>
    <w:rsid w:val="000C7C4B"/>
    <w:rsid w:val="00101D3C"/>
    <w:rsid w:val="001033B2"/>
    <w:rsid w:val="001071F8"/>
    <w:rsid w:val="00140C51"/>
    <w:rsid w:val="00146E7B"/>
    <w:rsid w:val="001470D5"/>
    <w:rsid w:val="001539FE"/>
    <w:rsid w:val="001D5693"/>
    <w:rsid w:val="00232448"/>
    <w:rsid w:val="00295EE7"/>
    <w:rsid w:val="002B4848"/>
    <w:rsid w:val="002D11C3"/>
    <w:rsid w:val="002D4489"/>
    <w:rsid w:val="002D513C"/>
    <w:rsid w:val="002E5B12"/>
    <w:rsid w:val="002F0F42"/>
    <w:rsid w:val="002F4C2F"/>
    <w:rsid w:val="0030520B"/>
    <w:rsid w:val="0031201B"/>
    <w:rsid w:val="00312400"/>
    <w:rsid w:val="00324204"/>
    <w:rsid w:val="003353D8"/>
    <w:rsid w:val="00344FCD"/>
    <w:rsid w:val="00357B9C"/>
    <w:rsid w:val="00361A17"/>
    <w:rsid w:val="00373234"/>
    <w:rsid w:val="00375BEF"/>
    <w:rsid w:val="00384FDE"/>
    <w:rsid w:val="003943F6"/>
    <w:rsid w:val="00395DB5"/>
    <w:rsid w:val="003B0D26"/>
    <w:rsid w:val="003C3AB1"/>
    <w:rsid w:val="003C4D29"/>
    <w:rsid w:val="003F734F"/>
    <w:rsid w:val="00401BEC"/>
    <w:rsid w:val="00407E8B"/>
    <w:rsid w:val="004129EC"/>
    <w:rsid w:val="00412CA8"/>
    <w:rsid w:val="004132D8"/>
    <w:rsid w:val="00420089"/>
    <w:rsid w:val="004413CD"/>
    <w:rsid w:val="0044330E"/>
    <w:rsid w:val="0047522D"/>
    <w:rsid w:val="00483E57"/>
    <w:rsid w:val="0048494F"/>
    <w:rsid w:val="00490EE6"/>
    <w:rsid w:val="00491AFF"/>
    <w:rsid w:val="00495E89"/>
    <w:rsid w:val="004C0E18"/>
    <w:rsid w:val="004C7D3E"/>
    <w:rsid w:val="00504B91"/>
    <w:rsid w:val="00512615"/>
    <w:rsid w:val="005264BC"/>
    <w:rsid w:val="00530BC9"/>
    <w:rsid w:val="00536351"/>
    <w:rsid w:val="00550AC3"/>
    <w:rsid w:val="00553A48"/>
    <w:rsid w:val="00585BCB"/>
    <w:rsid w:val="00591936"/>
    <w:rsid w:val="0059588A"/>
    <w:rsid w:val="005B6260"/>
    <w:rsid w:val="006350F0"/>
    <w:rsid w:val="00640055"/>
    <w:rsid w:val="006550F1"/>
    <w:rsid w:val="006B5086"/>
    <w:rsid w:val="006B70C5"/>
    <w:rsid w:val="006C3076"/>
    <w:rsid w:val="006D6FA5"/>
    <w:rsid w:val="006F3642"/>
    <w:rsid w:val="00700D7C"/>
    <w:rsid w:val="00712C3F"/>
    <w:rsid w:val="0071741F"/>
    <w:rsid w:val="007228A0"/>
    <w:rsid w:val="00735BAF"/>
    <w:rsid w:val="00764763"/>
    <w:rsid w:val="00765080"/>
    <w:rsid w:val="00767B09"/>
    <w:rsid w:val="00770513"/>
    <w:rsid w:val="00774DC7"/>
    <w:rsid w:val="007873FB"/>
    <w:rsid w:val="00794252"/>
    <w:rsid w:val="007A1420"/>
    <w:rsid w:val="0080687E"/>
    <w:rsid w:val="008075DA"/>
    <w:rsid w:val="00815E5C"/>
    <w:rsid w:val="00830D84"/>
    <w:rsid w:val="00833A1E"/>
    <w:rsid w:val="008606FB"/>
    <w:rsid w:val="00886052"/>
    <w:rsid w:val="00887D3F"/>
    <w:rsid w:val="0089318D"/>
    <w:rsid w:val="008A2258"/>
    <w:rsid w:val="008C54DD"/>
    <w:rsid w:val="008D11D9"/>
    <w:rsid w:val="0090552C"/>
    <w:rsid w:val="00906BE2"/>
    <w:rsid w:val="00912666"/>
    <w:rsid w:val="00940C27"/>
    <w:rsid w:val="00947DD3"/>
    <w:rsid w:val="0095636A"/>
    <w:rsid w:val="009823B3"/>
    <w:rsid w:val="00992DD5"/>
    <w:rsid w:val="00993AAF"/>
    <w:rsid w:val="009C2F7D"/>
    <w:rsid w:val="009C3569"/>
    <w:rsid w:val="009E0E6A"/>
    <w:rsid w:val="009E6929"/>
    <w:rsid w:val="00A13062"/>
    <w:rsid w:val="00A21C98"/>
    <w:rsid w:val="00A4446E"/>
    <w:rsid w:val="00A507CD"/>
    <w:rsid w:val="00A60820"/>
    <w:rsid w:val="00A81E54"/>
    <w:rsid w:val="00A85B73"/>
    <w:rsid w:val="00A8799B"/>
    <w:rsid w:val="00A936BD"/>
    <w:rsid w:val="00AA352F"/>
    <w:rsid w:val="00AB00BC"/>
    <w:rsid w:val="00AB1258"/>
    <w:rsid w:val="00AD093D"/>
    <w:rsid w:val="00AE1ACB"/>
    <w:rsid w:val="00AE7158"/>
    <w:rsid w:val="00AF5B05"/>
    <w:rsid w:val="00B16DD5"/>
    <w:rsid w:val="00B21E68"/>
    <w:rsid w:val="00B34AEE"/>
    <w:rsid w:val="00B766FE"/>
    <w:rsid w:val="00B77598"/>
    <w:rsid w:val="00B84DD7"/>
    <w:rsid w:val="00B85636"/>
    <w:rsid w:val="00BA641F"/>
    <w:rsid w:val="00BB381F"/>
    <w:rsid w:val="00BC57D8"/>
    <w:rsid w:val="00BC599C"/>
    <w:rsid w:val="00BD3FE4"/>
    <w:rsid w:val="00BF0386"/>
    <w:rsid w:val="00BF0E54"/>
    <w:rsid w:val="00C030D2"/>
    <w:rsid w:val="00C17D8C"/>
    <w:rsid w:val="00C2410A"/>
    <w:rsid w:val="00C3148E"/>
    <w:rsid w:val="00C358D5"/>
    <w:rsid w:val="00C52370"/>
    <w:rsid w:val="00C6474C"/>
    <w:rsid w:val="00C73575"/>
    <w:rsid w:val="00C80619"/>
    <w:rsid w:val="00C831C6"/>
    <w:rsid w:val="00C8516F"/>
    <w:rsid w:val="00C8704B"/>
    <w:rsid w:val="00CA4DB2"/>
    <w:rsid w:val="00CA568D"/>
    <w:rsid w:val="00CC205C"/>
    <w:rsid w:val="00CD38F8"/>
    <w:rsid w:val="00CD7858"/>
    <w:rsid w:val="00CE2429"/>
    <w:rsid w:val="00CE6057"/>
    <w:rsid w:val="00CF4A8C"/>
    <w:rsid w:val="00D00DBC"/>
    <w:rsid w:val="00D05080"/>
    <w:rsid w:val="00D1657F"/>
    <w:rsid w:val="00D17CBE"/>
    <w:rsid w:val="00D357AC"/>
    <w:rsid w:val="00D57D28"/>
    <w:rsid w:val="00D925D1"/>
    <w:rsid w:val="00D930E6"/>
    <w:rsid w:val="00D93765"/>
    <w:rsid w:val="00DB3121"/>
    <w:rsid w:val="00DB5FB6"/>
    <w:rsid w:val="00DF19DA"/>
    <w:rsid w:val="00E029CF"/>
    <w:rsid w:val="00E15518"/>
    <w:rsid w:val="00E27CF5"/>
    <w:rsid w:val="00E367FC"/>
    <w:rsid w:val="00E43F02"/>
    <w:rsid w:val="00E5047E"/>
    <w:rsid w:val="00E7060A"/>
    <w:rsid w:val="00E70A87"/>
    <w:rsid w:val="00E910E4"/>
    <w:rsid w:val="00E95C1D"/>
    <w:rsid w:val="00EB010B"/>
    <w:rsid w:val="00EB7C7A"/>
    <w:rsid w:val="00EE7BBC"/>
    <w:rsid w:val="00F00B78"/>
    <w:rsid w:val="00F11CC7"/>
    <w:rsid w:val="00F173C8"/>
    <w:rsid w:val="00F2428A"/>
    <w:rsid w:val="00F35FCD"/>
    <w:rsid w:val="00F4504C"/>
    <w:rsid w:val="00F54DE3"/>
    <w:rsid w:val="00F713A5"/>
    <w:rsid w:val="00F763C9"/>
    <w:rsid w:val="00F843EF"/>
    <w:rsid w:val="00FA1296"/>
    <w:rsid w:val="00FA5403"/>
    <w:rsid w:val="00FF7F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8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Bookman Old Style" w:eastAsia="Bookman Old Style" w:hAnsi="Bookman Old Style" w:cs="Bookman Old Style"/>
    </w:rPr>
  </w:style>
  <w:style w:type="paragraph" w:styleId="Titolo2">
    <w:name w:val="heading 2"/>
    <w:basedOn w:val="Normale"/>
    <w:next w:val="Normale"/>
    <w:link w:val="Titolo2Carattere"/>
    <w:uiPriority w:val="9"/>
    <w:unhideWhenUsed/>
    <w:qFormat/>
    <w:rsid w:val="00C6474C"/>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kern w:val="2"/>
      <w:sz w:val="26"/>
      <w:szCs w:val="26"/>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12"/>
    </w:pPr>
  </w:style>
  <w:style w:type="paragraph" w:styleId="Paragrafoelenco">
    <w:name w:val="List Paragraph"/>
    <w:basedOn w:val="Normale"/>
    <w:uiPriority w:val="1"/>
    <w:qFormat/>
    <w:pPr>
      <w:ind w:left="112"/>
      <w:jc w:val="both"/>
    </w:pPr>
  </w:style>
  <w:style w:type="paragraph" w:customStyle="1" w:styleId="TableParagraph">
    <w:name w:val="Table Paragraph"/>
    <w:basedOn w:val="Normale"/>
    <w:uiPriority w:val="1"/>
    <w:qFormat/>
  </w:style>
  <w:style w:type="character" w:customStyle="1" w:styleId="Titolo2Carattere">
    <w:name w:val="Titolo 2 Carattere"/>
    <w:basedOn w:val="Carpredefinitoparagrafo"/>
    <w:link w:val="Titolo2"/>
    <w:uiPriority w:val="9"/>
    <w:rsid w:val="00C6474C"/>
    <w:rPr>
      <w:rFonts w:asciiTheme="majorHAnsi" w:eastAsiaTheme="majorEastAsia" w:hAnsiTheme="majorHAnsi" w:cstheme="majorBidi"/>
      <w:color w:val="365F91" w:themeColor="accent1" w:themeShade="BF"/>
      <w:kern w:val="2"/>
      <w:sz w:val="26"/>
      <w:szCs w:val="26"/>
      <w:lang w:val="it-IT"/>
    </w:rPr>
  </w:style>
  <w:style w:type="character" w:customStyle="1" w:styleId="CorpotestoCarattere">
    <w:name w:val="Corpo testo Carattere"/>
    <w:basedOn w:val="Carpredefinitoparagrafo"/>
    <w:link w:val="Corpotesto"/>
    <w:uiPriority w:val="1"/>
    <w:rsid w:val="002F0F42"/>
    <w:rPr>
      <w:rFonts w:ascii="Bookman Old Style" w:eastAsia="Bookman Old Style" w:hAnsi="Bookman Old Style" w:cs="Bookman Old Style"/>
    </w:rPr>
  </w:style>
  <w:style w:type="table" w:styleId="Grigliatabella">
    <w:name w:val="Table Grid"/>
    <w:basedOn w:val="Tabellanormale"/>
    <w:uiPriority w:val="39"/>
    <w:rsid w:val="003C3AB1"/>
    <w:pPr>
      <w:widowControl/>
      <w:autoSpaceDE/>
      <w:autoSpaceDN/>
    </w:pPr>
    <w:rPr>
      <w:kern w:val="2"/>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CA4DB2"/>
    <w:pPr>
      <w:widowControl/>
      <w:autoSpaceDE/>
      <w:autoSpaceDN/>
    </w:pPr>
    <w:rPr>
      <w:rFonts w:ascii="Bookman Old Style" w:eastAsia="Bookman Old Style" w:hAnsi="Bookman Old Style" w:cs="Bookman Old Style"/>
    </w:rPr>
  </w:style>
  <w:style w:type="character" w:styleId="Rimandocommento">
    <w:name w:val="annotation reference"/>
    <w:basedOn w:val="Carpredefinitoparagrafo"/>
    <w:uiPriority w:val="99"/>
    <w:semiHidden/>
    <w:unhideWhenUsed/>
    <w:rsid w:val="009823B3"/>
    <w:rPr>
      <w:sz w:val="16"/>
      <w:szCs w:val="16"/>
    </w:rPr>
  </w:style>
  <w:style w:type="paragraph" w:styleId="Testocommento">
    <w:name w:val="annotation text"/>
    <w:basedOn w:val="Normale"/>
    <w:link w:val="TestocommentoCarattere"/>
    <w:uiPriority w:val="99"/>
    <w:unhideWhenUsed/>
    <w:rsid w:val="009823B3"/>
    <w:rPr>
      <w:sz w:val="20"/>
      <w:szCs w:val="20"/>
    </w:rPr>
  </w:style>
  <w:style w:type="character" w:customStyle="1" w:styleId="TestocommentoCarattere">
    <w:name w:val="Testo commento Carattere"/>
    <w:basedOn w:val="Carpredefinitoparagrafo"/>
    <w:link w:val="Testocommento"/>
    <w:uiPriority w:val="99"/>
    <w:rsid w:val="009823B3"/>
    <w:rPr>
      <w:rFonts w:ascii="Bookman Old Style" w:eastAsia="Bookman Old Style" w:hAnsi="Bookman Old Style" w:cs="Bookman Old Style"/>
      <w:sz w:val="20"/>
      <w:szCs w:val="20"/>
    </w:rPr>
  </w:style>
  <w:style w:type="paragraph" w:styleId="Soggettocommento">
    <w:name w:val="annotation subject"/>
    <w:basedOn w:val="Testocommento"/>
    <w:next w:val="Testocommento"/>
    <w:link w:val="SoggettocommentoCarattere"/>
    <w:uiPriority w:val="99"/>
    <w:semiHidden/>
    <w:unhideWhenUsed/>
    <w:rsid w:val="009823B3"/>
    <w:rPr>
      <w:b/>
      <w:bCs/>
    </w:rPr>
  </w:style>
  <w:style w:type="character" w:customStyle="1" w:styleId="SoggettocommentoCarattere">
    <w:name w:val="Soggetto commento Carattere"/>
    <w:basedOn w:val="TestocommentoCarattere"/>
    <w:link w:val="Soggettocommento"/>
    <w:uiPriority w:val="99"/>
    <w:semiHidden/>
    <w:rsid w:val="009823B3"/>
    <w:rPr>
      <w:rFonts w:ascii="Bookman Old Style" w:eastAsia="Bookman Old Style" w:hAnsi="Bookman Old Style" w:cs="Bookman Old Style"/>
      <w:b/>
      <w:bCs/>
      <w:sz w:val="20"/>
      <w:szCs w:val="20"/>
    </w:rPr>
  </w:style>
  <w:style w:type="paragraph" w:styleId="Intestazione">
    <w:name w:val="header"/>
    <w:basedOn w:val="Normale"/>
    <w:link w:val="IntestazioneCarattere"/>
    <w:uiPriority w:val="99"/>
    <w:unhideWhenUsed/>
    <w:rsid w:val="000C112F"/>
    <w:pPr>
      <w:tabs>
        <w:tab w:val="center" w:pos="4819"/>
        <w:tab w:val="right" w:pos="9638"/>
      </w:tabs>
    </w:pPr>
  </w:style>
  <w:style w:type="character" w:customStyle="1" w:styleId="IntestazioneCarattere">
    <w:name w:val="Intestazione Carattere"/>
    <w:basedOn w:val="Carpredefinitoparagrafo"/>
    <w:link w:val="Intestazione"/>
    <w:uiPriority w:val="99"/>
    <w:rsid w:val="000C112F"/>
    <w:rPr>
      <w:rFonts w:ascii="Bookman Old Style" w:eastAsia="Bookman Old Style" w:hAnsi="Bookman Old Style" w:cs="Bookman Old Style"/>
    </w:rPr>
  </w:style>
  <w:style w:type="paragraph" w:styleId="Pidipagina">
    <w:name w:val="footer"/>
    <w:basedOn w:val="Normale"/>
    <w:link w:val="PidipaginaCarattere"/>
    <w:uiPriority w:val="99"/>
    <w:unhideWhenUsed/>
    <w:rsid w:val="000C112F"/>
    <w:pPr>
      <w:tabs>
        <w:tab w:val="center" w:pos="4819"/>
        <w:tab w:val="right" w:pos="9638"/>
      </w:tabs>
    </w:pPr>
  </w:style>
  <w:style w:type="character" w:customStyle="1" w:styleId="PidipaginaCarattere">
    <w:name w:val="Piè di pagina Carattere"/>
    <w:basedOn w:val="Carpredefinitoparagrafo"/>
    <w:link w:val="Pidipagina"/>
    <w:uiPriority w:val="99"/>
    <w:rsid w:val="000C112F"/>
    <w:rPr>
      <w:rFonts w:ascii="Bookman Old Style" w:eastAsia="Bookman Old Style" w:hAnsi="Bookman Old Style" w:cs="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19B2C-85CB-497E-B012-6842121D8E9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3217</Words>
  <Characters>18340</Characters>
  <Application>Microsoft Office Word</Application>
  <DocSecurity>0</DocSecurity>
  <Lines>152</Lines>
  <Paragraphs>43</Paragraphs>
  <ScaleCrop>false</ScaleCrop>
  <Company/>
  <LinksUpToDate>false</LinksUpToDate>
  <CharactersWithSpaces>21514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2024-04-02T06:23:00Z</dcterms:created>
  <dcterms:modified xsi:type="dcterms:W3CDTF">2024-04-02T06:23:00Z</dcterms:modified>
</cp:coreProperties>
</file>